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3"/>
      </w:pPr>
      <w:r/>
      <w:bookmarkStart w:id="0" w:name="_Hlk201134550"/>
      <w:r>
        <w:t xml:space="preserve">XIV. Паспорт регионального проекта "Борьба с онкологическими заболеваниями" (Д3), входящего в национальный проект (далее - региональный проект 12)</w:t>
      </w:r>
      <w:r/>
    </w:p>
    <w:p>
      <w:r/>
      <w:r/>
    </w:p>
    <w:p>
      <w:pPr>
        <w:pStyle w:val="713"/>
      </w:pPr>
      <w:r/>
      <w:bookmarkStart w:id="1" w:name="sub_10281"/>
      <w:r>
        <w:t xml:space="preserve">1. Основные положения</w:t>
      </w:r>
      <w:bookmarkEnd w:id="1"/>
      <w:r/>
    </w:p>
    <w:p>
      <w:r/>
      <w:r/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3531"/>
        <w:gridCol w:w="2309"/>
        <w:gridCol w:w="1901"/>
        <w:gridCol w:w="2173"/>
      </w:tblGrid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Краткое наименование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Борьба с онкологическими заболеваниями (Белгородская область)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9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0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17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31.12.2030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Куратор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Милёхин</w:t>
            </w:r>
            <w:r>
              <w:rPr>
                <w:sz w:val="23"/>
                <w:szCs w:val="23"/>
              </w:rPr>
              <w:t xml:space="preserve"> А.В.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Губернатора Белгородской области - министр образования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Руководитель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Иконников А.А.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Министр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Администратор регионального проекта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Крылова Л.С.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Первый заместитель министра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Соисполнители государственной программы (комплексной программы)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Целевые группы</w:t>
            </w:r>
            <w:r/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991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Пациенты с онкологическими заболеваниями, их родственники, все граждане РФ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restart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области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 Белгородской области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296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31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Государственная программа Российской Федерации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383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Развитие здравоохранения</w:t>
            </w:r>
            <w:r/>
          </w:p>
        </w:tc>
      </w:tr>
    </w:tbl>
    <w:p>
      <w:pPr>
        <w:pStyle w:val="713"/>
      </w:pPr>
      <w:r>
        <w:rPr>
          <w:sz w:val="28"/>
          <w:szCs w:val="28"/>
        </w:rPr>
        <w:br w:type="page" w:clear="all"/>
      </w:r>
      <w:bookmarkStart w:id="2" w:name="sub_10282"/>
      <w:r>
        <w:t xml:space="preserve">2. Показатели регионального проекта 12</w:t>
      </w:r>
      <w:bookmarkEnd w:id="2"/>
      <w:r/>
    </w:p>
    <w:tbl>
      <w:tblPr>
        <w:tblW w:w="157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"/>
        <w:gridCol w:w="2237"/>
        <w:gridCol w:w="1053"/>
        <w:gridCol w:w="1552"/>
        <w:gridCol w:w="1053"/>
        <w:gridCol w:w="921"/>
        <w:gridCol w:w="921"/>
        <w:gridCol w:w="790"/>
        <w:gridCol w:w="790"/>
        <w:gridCol w:w="790"/>
        <w:gridCol w:w="790"/>
        <w:gridCol w:w="790"/>
        <w:gridCol w:w="1053"/>
        <w:gridCol w:w="1053"/>
        <w:gridCol w:w="1265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Признак возрастания/ убывания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0" w:tooltip="http://garant.belregion.ru/document/redirect/179222/0" w:history="1">
              <w:r>
                <w:rPr>
                  <w:color w:val="106bbe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Базовое значение</w:t>
            </w:r>
            <w:r/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Период,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Нарастающий итог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/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58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доступность диагностики и лечения онкологических заболеваний позволит увеличить на 7% количество пациентов со злокачественными новообразованиями, живущих более 5 лет"</w:t>
            </w:r>
            <w:r/>
          </w:p>
        </w:tc>
      </w:tr>
      <w:tr>
        <w:trPr>
          <w:trHeight w:val="28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/>
            <w:bookmarkStart w:id="3" w:name="_GoBack"/>
            <w:r>
              <w:rPr>
                <w:sz w:val="23"/>
                <w:szCs w:val="23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злокачественных новообразований, выявленных на I стадии, от общего числа случаев злокачественных новообразований визуальных локализаций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60,4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bookmarkEnd w:id="3"/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лиц, живущих 5 и более лет с момента установления диагноза злокачественного новообразования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68,7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71,8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лиц, прошедших обследование в соответствии с индивидуальным планом ведения в рамках диспансерного наблюдения, из числа </w:t>
            </w:r>
            <w:r>
              <w:rPr>
                <w:sz w:val="23"/>
                <w:szCs w:val="23"/>
              </w:rPr>
              <w:t xml:space="preserve">онкологических больных, завершивших лечение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82,0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86,0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</w:t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  <w:p>
            <w:pPr>
              <w:pStyle w:val="859"/>
              <w:jc w:val="center"/>
              <w:rPr>
                <w:color w:val="ff0000"/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под диспансерное наблюдение в предыдущем году)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</w:t>
            </w:r>
            <w:r/>
          </w:p>
        </w:tc>
      </w:tr>
    </w:tbl>
    <w:p>
      <w:r/>
      <w:r/>
    </w:p>
    <w:p>
      <w:pPr>
        <w:pStyle w:val="713"/>
      </w:pPr>
      <w:r/>
      <w:bookmarkStart w:id="4" w:name="sub_10283"/>
      <w:r>
        <w:t xml:space="preserve">3. Помесячный план достижения показателей регионального проекта 12 в 2025 году</w:t>
      </w:r>
      <w:bookmarkEnd w:id="4"/>
      <w:r/>
    </w:p>
    <w:p>
      <w:r/>
      <w:r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98"/>
        <w:gridCol w:w="2527"/>
        <w:gridCol w:w="1197"/>
        <w:gridCol w:w="1197"/>
        <w:gridCol w:w="931"/>
        <w:gridCol w:w="798"/>
        <w:gridCol w:w="665"/>
        <w:gridCol w:w="665"/>
        <w:gridCol w:w="798"/>
        <w:gridCol w:w="798"/>
        <w:gridCol w:w="798"/>
        <w:gridCol w:w="798"/>
        <w:gridCol w:w="798"/>
        <w:gridCol w:w="798"/>
        <w:gridCol w:w="931"/>
        <w:gridCol w:w="798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</w:t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Показатели регионального проекта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Уровень показателя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color w:val="106bbe"/>
                  <w:sz w:val="23"/>
                  <w:szCs w:val="23"/>
                </w:rPr>
                <w:t xml:space="preserve">ОКЕИ</w:t>
              </w:r>
            </w:hyperlink>
            <w:r>
              <w:rPr>
                <w:sz w:val="23"/>
                <w:szCs w:val="23"/>
              </w:rPr>
              <w:t xml:space="preserve">)</w:t>
            </w:r>
            <w:r/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Плановые значения по кварталам/ месяцам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конец 2025 года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фев.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март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апр.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июль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авг.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сент.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окт.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ноябрь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Merge w:val="continue"/>
            <w:textDirection w:val="lrTb"/>
            <w:noWrap w:val="false"/>
          </w:tcPr>
          <w:p>
            <w:pPr>
              <w:pStyle w:val="859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</w:t>
            </w:r>
            <w:r/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9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Задача "К 2030 году доступность диагностики и лечения онкологических заболеваний позволит увеличить на 7% количество пациентов со злокачественными новообразованиями, живущих более 5 лет"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1.1.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лиц, живущих 5 и более лет с момента установления диагноза злокачественного новообразования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64,5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64,9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65,6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</w:t>
            </w:r>
            <w:r/>
          </w:p>
          <w:p>
            <w:pPr>
              <w:pStyle w:val="859"/>
              <w:jc w:val="center"/>
              <w:rPr>
                <w:strike/>
                <w:sz w:val="23"/>
                <w:szCs w:val="23"/>
              </w:rPr>
            </w:pPr>
            <w:r>
              <w:rPr>
                <w:strike/>
                <w:sz w:val="23"/>
                <w:szCs w:val="23"/>
              </w:rPr>
            </w:r>
            <w:r/>
          </w:p>
          <w:p>
            <w:pPr>
              <w:pStyle w:val="859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злокачественных </w:t>
            </w:r>
            <w:r>
              <w:rPr>
                <w:sz w:val="23"/>
                <w:szCs w:val="23"/>
              </w:rPr>
              <w:t xml:space="preserve">новообразований, выявленных на I стадии, от общего числа случаев злокачественных новообразований визуальных локализаций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58,4</w:t>
            </w:r>
            <w:r/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58,5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58,6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58,6</w:t>
            </w:r>
            <w:r/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58,7</w:t>
            </w: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t xml:space="preserve">58,7</w:t>
            </w:r>
            <w:r>
              <w:rPr>
                <w:sz w:val="23"/>
                <w:szCs w:val="23"/>
              </w:rPr>
            </w:r>
            <w:r/>
          </w:p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58,8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1.3.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Доля лиц, прошедших обследование в соответствии с индивидуальным планом ведения в рамках диспансерного наблюдения, из числа онкологических больных, завершивших лечение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23,0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28,3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34,4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41,2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47,4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56,4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73,0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1.4.</w:t>
            </w:r>
            <w:r/>
          </w:p>
          <w:p>
            <w:pPr>
              <w:pStyle w:val="859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7" w:type="dxa"/>
            <w:textDirection w:val="lrTb"/>
            <w:noWrap w:val="false"/>
          </w:tcPr>
          <w:p>
            <w:pPr>
              <w:pStyle w:val="8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под диспансерное наблюдение в предыдущем году)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ФП, РП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Процент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16,8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713"/>
        <w:spacing w:before="0" w:after="0"/>
        <w:rPr>
          <w:rFonts w:eastAsiaTheme="minorHAnsi"/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</w:rPr>
        <w:t xml:space="preserve">XI</w:t>
      </w:r>
      <w:r>
        <w:rPr>
          <w:color w:val="auto"/>
          <w:sz w:val="28"/>
          <w:szCs w:val="28"/>
          <w:lang w:val="en-US"/>
        </w:rPr>
        <w:t xml:space="preserve">V</w:t>
      </w:r>
      <w:r>
        <w:rPr>
          <w:color w:val="auto"/>
          <w:sz w:val="28"/>
          <w:szCs w:val="28"/>
        </w:rPr>
        <w:t xml:space="preserve">. Паспорт </w:t>
      </w:r>
      <w:r>
        <w:rPr>
          <w:color w:val="auto"/>
          <w:sz w:val="28"/>
          <w:szCs w:val="28"/>
        </w:rPr>
        <w:br/>
      </w:r>
      <w:r>
        <w:rPr>
          <w:rFonts w:eastAsiaTheme="minorHAnsi"/>
          <w:color w:val="auto"/>
          <w:sz w:val="28"/>
          <w:szCs w:val="28"/>
          <w:lang w:eastAsia="en-US"/>
        </w:rPr>
        <w:t xml:space="preserve">регионального проекта «Борьба с онкологическими заболеваниями» (Д3), </w:t>
      </w:r>
      <w:r>
        <w:rPr>
          <w:rFonts w:eastAsiaTheme="minorHAnsi"/>
          <w:color w:val="auto"/>
          <w:sz w:val="28"/>
          <w:szCs w:val="28"/>
          <w:lang w:eastAsia="en-US"/>
        </w:rPr>
        <w:br/>
        <w:t xml:space="preserve">входящего в национальный проект (далее – региональный проект 12)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713"/>
        <w:spacing w:before="0" w:after="0"/>
        <w:rPr>
          <w:sz w:val="28"/>
          <w:szCs w:val="28"/>
        </w:rPr>
      </w:pPr>
      <w:r/>
      <w:bookmarkStart w:id="5" w:name="sub_10284"/>
      <w:r>
        <w:rPr>
          <w:sz w:val="28"/>
          <w:szCs w:val="28"/>
        </w:rPr>
        <w:t xml:space="preserve">4. Мероприятия (результаты) регионального проекта 12</w:t>
      </w:r>
      <w:bookmarkEnd w:id="5"/>
      <w:r/>
      <w:r/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5000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"/>
        <w:gridCol w:w="1663"/>
        <w:gridCol w:w="1544"/>
        <w:gridCol w:w="832"/>
        <w:gridCol w:w="925"/>
        <w:gridCol w:w="503"/>
        <w:gridCol w:w="714"/>
        <w:gridCol w:w="594"/>
        <w:gridCol w:w="714"/>
        <w:gridCol w:w="714"/>
        <w:gridCol w:w="714"/>
        <w:gridCol w:w="714"/>
        <w:gridCol w:w="833"/>
        <w:gridCol w:w="1070"/>
        <w:gridCol w:w="1070"/>
        <w:gridCol w:w="1070"/>
        <w:gridCol w:w="1427"/>
      </w:tblGrid>
      <w:tr>
        <w:trPr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</w:t>
            </w:r>
            <w:r/>
          </w:p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мероприятия (результата)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Единица </w:t>
            </w:r>
            <w:r>
              <w:rPr>
                <w:b/>
                <w:bCs/>
                <w:sz w:val="18"/>
                <w:szCs w:val="18"/>
              </w:rPr>
              <w:t xml:space="preserve">измере-ния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br/>
              <w:t xml:space="preserve">(по </w:t>
            </w:r>
            <w:r>
              <w:rPr>
                <w:rStyle w:val="1351"/>
                <w:rFonts w:cs="Times New Roman CYR"/>
                <w:b/>
                <w:bCs/>
                <w:color w:val="auto"/>
                <w:sz w:val="18"/>
                <w:szCs w:val="18"/>
              </w:rPr>
              <w:t xml:space="preserve">ОКЕИ</w:t>
            </w:r>
            <w:r>
              <w:rPr>
                <w:b/>
                <w:bCs/>
                <w:sz w:val="18"/>
                <w:szCs w:val="18"/>
              </w:rPr>
              <w:t xml:space="preserve">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Базовое значение</w:t>
            </w:r>
            <w:r/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9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Тип </w:t>
            </w:r>
            <w:r>
              <w:rPr>
                <w:b/>
                <w:bCs/>
                <w:sz w:val="18"/>
                <w:szCs w:val="18"/>
              </w:rPr>
              <w:t xml:space="preserve">мероприя-тия</w:t>
            </w:r>
            <w:r>
              <w:rPr>
                <w:b/>
                <w:bCs/>
                <w:sz w:val="18"/>
                <w:szCs w:val="18"/>
              </w:rPr>
              <w:t xml:space="preserve"> (</w:t>
            </w:r>
            <w:r>
              <w:rPr>
                <w:b/>
                <w:bCs/>
                <w:sz w:val="18"/>
                <w:szCs w:val="18"/>
              </w:rPr>
              <w:t xml:space="preserve">результа</w:t>
            </w:r>
            <w:r>
              <w:rPr>
                <w:b/>
                <w:bCs/>
                <w:sz w:val="18"/>
                <w:szCs w:val="18"/>
              </w:rPr>
              <w:t xml:space="preserve">-та)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Уровень </w:t>
            </w:r>
            <w:r>
              <w:rPr>
                <w:b/>
                <w:bCs/>
                <w:sz w:val="18"/>
                <w:szCs w:val="18"/>
              </w:rPr>
              <w:t xml:space="preserve">мероприя-тия</w:t>
            </w:r>
            <w:r>
              <w:rPr>
                <w:b/>
                <w:bCs/>
                <w:sz w:val="18"/>
                <w:szCs w:val="18"/>
              </w:rPr>
              <w:t xml:space="preserve"> (</w:t>
            </w:r>
            <w:r>
              <w:rPr>
                <w:b/>
                <w:bCs/>
                <w:sz w:val="18"/>
                <w:szCs w:val="18"/>
              </w:rPr>
              <w:t xml:space="preserve">результа</w:t>
            </w:r>
            <w:r>
              <w:rPr>
                <w:b/>
                <w:bCs/>
                <w:sz w:val="18"/>
                <w:szCs w:val="18"/>
              </w:rPr>
              <w:t xml:space="preserve">-та)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Признак «Участие </w:t>
            </w:r>
            <w:r>
              <w:rPr>
                <w:b/>
                <w:bCs/>
                <w:sz w:val="18"/>
                <w:szCs w:val="18"/>
              </w:rPr>
              <w:t xml:space="preserve">муници-пального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образова-ния</w:t>
            </w:r>
            <w:r>
              <w:rPr>
                <w:b/>
                <w:bCs/>
                <w:sz w:val="18"/>
                <w:szCs w:val="18"/>
              </w:rPr>
              <w:t xml:space="preserve">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Связь </w:t>
            </w:r>
            <w:r/>
          </w:p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 показателями регионального проекта</w:t>
            </w:r>
            <w:r/>
          </w:p>
        </w:tc>
      </w:tr>
      <w:tr>
        <w:trPr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17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</w:t>
            </w:r>
            <w:r/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101" w:type="dxa"/>
            <w:textDirection w:val="lrTb"/>
            <w:noWrap w:val="false"/>
          </w:tcPr>
          <w:p>
            <w:pPr>
              <w:pStyle w:val="8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Задача «К 2030 году доступность диагностики и лечения онкологических заболеваний позволит увеличить на 7% количество пациентов со злокачественными новообразованиями, живущих более 5 лет»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реализации </w:t>
            </w:r>
            <w:r>
              <w:rPr>
                <w:sz w:val="18"/>
                <w:szCs w:val="18"/>
              </w:rPr>
              <w:t xml:space="preserve">федерально-</w:t>
            </w:r>
            <w:r>
              <w:rPr>
                <w:sz w:val="18"/>
                <w:szCs w:val="18"/>
              </w:rPr>
              <w:t xml:space="preserve">го</w:t>
            </w:r>
            <w:r>
              <w:rPr>
                <w:sz w:val="18"/>
                <w:szCs w:val="18"/>
              </w:rPr>
              <w:t xml:space="preserve"> проекта (результата федерально-</w:t>
            </w:r>
            <w:r>
              <w:rPr>
                <w:sz w:val="18"/>
                <w:szCs w:val="18"/>
              </w:rPr>
              <w:t xml:space="preserve">го</w:t>
            </w:r>
            <w:r>
              <w:rPr>
                <w:sz w:val="18"/>
                <w:szCs w:val="18"/>
              </w:rPr>
              <w:t xml:space="preserve"> проекта)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злокачественных </w:t>
            </w:r>
            <w:r>
              <w:rPr>
                <w:sz w:val="18"/>
                <w:szCs w:val="18"/>
              </w:rPr>
              <w:t xml:space="preserve">новообразова-ний</w:t>
            </w:r>
            <w:r>
              <w:rPr>
                <w:sz w:val="18"/>
                <w:szCs w:val="18"/>
              </w:rPr>
              <w:t xml:space="preserve">, выявленных на I стадии, </w:t>
            </w:r>
            <w:r>
              <w:rPr>
                <w:sz w:val="18"/>
                <w:szCs w:val="18"/>
              </w:rPr>
              <w:br/>
              <w:t xml:space="preserve">от общего числа случаев злокачественных новообразований визуальных локализаций.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живущих </w:t>
            </w:r>
            <w:r>
              <w:rPr>
                <w:sz w:val="18"/>
                <w:szCs w:val="18"/>
              </w:rPr>
              <w:br/>
              <w:t xml:space="preserve">5 и более лет </w:t>
            </w:r>
            <w:r>
              <w:rPr>
                <w:sz w:val="18"/>
                <w:szCs w:val="18"/>
              </w:rPr>
              <w:br/>
              <w:t xml:space="preserve">с момента установления диагноза злокачественного новообразования.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прошедших обследование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индивидуальным планом ведения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в рамках диспансерного наблюдения, </w:t>
            </w:r>
            <w:r>
              <w:rPr>
                <w:sz w:val="18"/>
                <w:szCs w:val="18"/>
              </w:rPr>
              <w:br/>
              <w:t xml:space="preserve">из числа онкологических больных, завершивших лечение.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Одногодичная летальность больных </w:t>
            </w:r>
            <w:r>
              <w:rPr>
                <w:sz w:val="18"/>
                <w:szCs w:val="18"/>
              </w:rPr>
              <w:br/>
              <w:t xml:space="preserve">со </w:t>
            </w:r>
            <w:r>
              <w:rPr>
                <w:sz w:val="18"/>
                <w:szCs w:val="18"/>
              </w:rPr>
              <w:t xml:space="preserve">злокачественны-ми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новообразовани-ями</w:t>
            </w:r>
            <w:r>
              <w:rPr>
                <w:sz w:val="18"/>
                <w:szCs w:val="18"/>
              </w:rPr>
              <w:t xml:space="preserve"> (умерли </w:t>
            </w:r>
            <w:r>
              <w:rPr>
                <w:sz w:val="18"/>
                <w:szCs w:val="18"/>
              </w:rPr>
              <w:br/>
              <w:t xml:space="preserve">в течение первого года </w:t>
            </w:r>
            <w:r>
              <w:rPr>
                <w:sz w:val="18"/>
                <w:szCs w:val="18"/>
              </w:rPr>
              <w:br/>
              <w:t xml:space="preserve">с момента установления диагноза </w:t>
            </w:r>
            <w:r>
              <w:rPr>
                <w:sz w:val="18"/>
                <w:szCs w:val="18"/>
              </w:rPr>
              <w:br/>
              <w:t xml:space="preserve">из числа больных, впервые взятых под диспансерное наблюдение </w:t>
            </w:r>
            <w:r>
              <w:rPr>
                <w:sz w:val="18"/>
                <w:szCs w:val="18"/>
              </w:rPr>
              <w:br/>
              <w:t xml:space="preserve">в предыдущем году)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 Х.</w:t>
            </w:r>
            <w:r/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101" w:type="dxa"/>
            <w:textDirection w:val="lrTb"/>
            <w:noWrap w:val="false"/>
          </w:tcPr>
          <w:p>
            <w:pPr>
              <w:pStyle w:val="8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Разработана, утверждена и реализована региональная программа «Борьба 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с </w:t>
            </w:r>
            <w:r>
              <w:rPr>
                <w:sz w:val="18"/>
                <w:szCs w:val="18"/>
              </w:rPr>
              <w:t xml:space="preserve">клиническими рекомендациями, повышение доступности высокотехнологичных методов лечения для пациентов 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и других специалистов, участвующих в оказании специализированной</w:t>
            </w:r>
            <w:r>
              <w:rPr>
                <w:sz w:val="18"/>
                <w:szCs w:val="18"/>
              </w:rPr>
              <w:t xml:space="preserve"> медицинской помощи населению 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и программ психосоциальной поддержки онкологических больных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</w:t>
            </w:r>
            <w:r>
              <w:rPr>
                <w:sz w:val="18"/>
                <w:szCs w:val="18"/>
              </w:rPr>
              <w:t xml:space="preserve">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обеспечения территориальной доступности медицинской помощи»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реализации </w:t>
            </w:r>
            <w:r>
              <w:rPr>
                <w:sz w:val="18"/>
                <w:szCs w:val="18"/>
              </w:rPr>
              <w:t xml:space="preserve">федерально-</w:t>
            </w:r>
            <w:r>
              <w:rPr>
                <w:sz w:val="18"/>
                <w:szCs w:val="18"/>
              </w:rPr>
              <w:t xml:space="preserve">го</w:t>
            </w:r>
            <w:r>
              <w:rPr>
                <w:sz w:val="18"/>
                <w:szCs w:val="18"/>
              </w:rPr>
              <w:t xml:space="preserve"> проекта (результата </w:t>
            </w:r>
            <w:r>
              <w:rPr>
                <w:sz w:val="18"/>
                <w:szCs w:val="18"/>
              </w:rPr>
              <w:t xml:space="preserve">федерально-</w:t>
            </w:r>
            <w:r>
              <w:rPr>
                <w:sz w:val="18"/>
                <w:szCs w:val="18"/>
              </w:rPr>
              <w:t xml:space="preserve">го</w:t>
            </w:r>
            <w:r>
              <w:rPr>
                <w:sz w:val="18"/>
                <w:szCs w:val="18"/>
              </w:rPr>
              <w:t xml:space="preserve"> проекта)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ФП, 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злокачественных </w:t>
            </w:r>
            <w:r>
              <w:rPr>
                <w:sz w:val="18"/>
                <w:szCs w:val="18"/>
              </w:rPr>
              <w:t xml:space="preserve">новообразова-ний</w:t>
            </w:r>
            <w:r>
              <w:rPr>
                <w:sz w:val="18"/>
                <w:szCs w:val="18"/>
              </w:rPr>
              <w:t xml:space="preserve">, выявленных на I стадии,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от общего числа случаев злокачественных новообразований визуальных локализаций.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живущих </w:t>
            </w:r>
            <w:r>
              <w:rPr>
                <w:sz w:val="18"/>
                <w:szCs w:val="18"/>
              </w:rPr>
              <w:br/>
              <w:t xml:space="preserve">5 и более лет </w:t>
            </w:r>
            <w:r>
              <w:rPr>
                <w:sz w:val="18"/>
                <w:szCs w:val="18"/>
              </w:rPr>
              <w:br/>
              <w:t xml:space="preserve">с момента установления диагноза злокачественного новообразования.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прошедших обследование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индивидуальным планом ведения </w:t>
            </w:r>
            <w:r>
              <w:rPr>
                <w:sz w:val="18"/>
                <w:szCs w:val="18"/>
              </w:rPr>
              <w:br/>
              <w:t xml:space="preserve">в рамках диспансерного наблюдения, </w:t>
            </w:r>
            <w:r>
              <w:rPr>
                <w:sz w:val="18"/>
                <w:szCs w:val="18"/>
              </w:rPr>
              <w:br/>
              <w:t xml:space="preserve">из числа онкологических больных, завершивших лечение. Одногодичная летальность больных </w:t>
            </w:r>
            <w:r>
              <w:rPr>
                <w:sz w:val="18"/>
                <w:szCs w:val="18"/>
              </w:rPr>
              <w:br/>
              <w:t xml:space="preserve">со </w:t>
            </w:r>
            <w:r>
              <w:rPr>
                <w:sz w:val="18"/>
                <w:szCs w:val="18"/>
              </w:rPr>
              <w:t xml:space="preserve">злокачественны-ми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новообразова-ниями</w:t>
            </w:r>
            <w:r>
              <w:rPr>
                <w:sz w:val="18"/>
                <w:szCs w:val="18"/>
              </w:rPr>
              <w:t xml:space="preserve"> (умерли </w:t>
            </w:r>
            <w:r>
              <w:rPr>
                <w:sz w:val="18"/>
                <w:szCs w:val="18"/>
              </w:rPr>
              <w:br/>
              <w:t xml:space="preserve">в течение первого года </w:t>
            </w:r>
            <w:r>
              <w:rPr>
                <w:sz w:val="18"/>
                <w:szCs w:val="18"/>
              </w:rPr>
              <w:br/>
              <w:t xml:space="preserve">с момента установления </w:t>
            </w:r>
            <w:r>
              <w:rPr>
                <w:sz w:val="18"/>
                <w:szCs w:val="18"/>
              </w:rPr>
              <w:t xml:space="preserve">диагноза </w:t>
            </w:r>
            <w:r>
              <w:rPr>
                <w:sz w:val="18"/>
                <w:szCs w:val="18"/>
              </w:rPr>
              <w:br/>
              <w:t xml:space="preserve">из числа больных, впервые взятых под диспансерное наблюдение </w:t>
            </w:r>
            <w:r>
              <w:rPr>
                <w:sz w:val="18"/>
                <w:szCs w:val="18"/>
              </w:rPr>
              <w:br/>
              <w:t xml:space="preserve">в предыдущем году)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 Х.</w:t>
            </w:r>
            <w:r/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101" w:type="dxa"/>
            <w:textDirection w:val="lrTb"/>
            <w:noWrap w:val="false"/>
          </w:tcPr>
          <w:p>
            <w:pPr>
              <w:pStyle w:val="8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</w:t>
            </w:r>
            <w:r>
              <w:rPr>
                <w:sz w:val="18"/>
                <w:szCs w:val="18"/>
              </w:rPr>
              <w:t xml:space="preserve">ии пациентов с онкологическими заболеваниями, в том числе проживающих на сельских территориях. Субъектом Российской Федерации на постоянной основе совершенствуется схема маршрутизации пациентов с онкологическими заболеваниями на всех этапах оказания медици</w:t>
            </w:r>
            <w:r>
              <w:rPr>
                <w:sz w:val="18"/>
                <w:szCs w:val="18"/>
              </w:rPr>
              <w:t xml:space="preserve">нской помощи: с момента выявления подозрения на онкологическое заболевание до момента снятия с диспансерного наблюдения. Установленная схема маршрутизации пациентов с онкологическими заболеваниями включает медицинские организации, оказывающие первичную спе</w:t>
            </w:r>
            <w:r>
              <w:rPr>
                <w:sz w:val="18"/>
                <w:szCs w:val="18"/>
              </w:rPr>
              <w:t xml:space="preserve">циализированную медико-санитарную помощь в амбулаторных условиях и условиях дневного стационара, специализированную, в том числе высокотехнологичную, медицинскую помощь в условиях дневного стационара и в стационарных условиях, а также медицинскую реабилита</w:t>
            </w:r>
            <w:r>
              <w:rPr>
                <w:sz w:val="18"/>
                <w:szCs w:val="18"/>
              </w:rPr>
              <w:t xml:space="preserve">цию и паллиативную медицинскую помощь. Порядок маршрутизации включает перечень заболеваний, при которых в обязательном порядке проводятся консультации с применением телемедицинских технологий как между медицинскими организациями субъекта, в том числе распо</w:t>
            </w:r>
            <w:r>
              <w:rPr>
                <w:sz w:val="18"/>
                <w:szCs w:val="18"/>
              </w:rPr>
              <w:t xml:space="preserve">ложенными 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на онкологическое заболевание, сроков проведения диагностичес</w:t>
            </w:r>
            <w:r>
              <w:rPr>
                <w:sz w:val="18"/>
                <w:szCs w:val="18"/>
              </w:rPr>
              <w:t xml:space="preserve">ких инструментальных и лабораторных исследований в случае подозрения 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</w:t>
            </w:r>
            <w:r>
              <w:rPr>
                <w:sz w:val="18"/>
                <w:szCs w:val="18"/>
              </w:rPr>
              <w:t xml:space="preserve"> оказания специализированной медицинской помощи 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Мониторинг достижения показателей Федерального проекта «Борьба </w:t>
            </w:r>
            <w:r>
              <w:rPr>
                <w:color w:val="000000"/>
                <w:spacing w:val="-2"/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2024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Оказание услуг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textDirection w:val="lrTb"/>
            <w:noWrap w:val="false"/>
          </w:tcPr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живущих </w:t>
            </w:r>
            <w:r>
              <w:rPr>
                <w:sz w:val="18"/>
                <w:szCs w:val="18"/>
              </w:rPr>
              <w:br/>
              <w:t xml:space="preserve">5 и более лет </w:t>
            </w:r>
            <w:r>
              <w:rPr>
                <w:sz w:val="18"/>
                <w:szCs w:val="18"/>
              </w:rPr>
              <w:br/>
              <w:t xml:space="preserve">с момента установления диагноза злокачественного новообразования.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злокачественных </w:t>
            </w:r>
            <w:r>
              <w:rPr>
                <w:sz w:val="18"/>
                <w:szCs w:val="18"/>
              </w:rPr>
              <w:t xml:space="preserve">новообразова-ний</w:t>
            </w:r>
            <w:r>
              <w:rPr>
                <w:sz w:val="18"/>
                <w:szCs w:val="18"/>
              </w:rPr>
              <w:t xml:space="preserve">, выявленных на I стадии, </w:t>
            </w:r>
            <w:r>
              <w:rPr>
                <w:sz w:val="18"/>
                <w:szCs w:val="18"/>
              </w:rPr>
              <w:br/>
              <w:t xml:space="preserve">от общего числа случаев злокачественных новообразований визуальных локализаций.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</w:t>
            </w:r>
            <w:r>
              <w:rPr>
                <w:sz w:val="18"/>
                <w:szCs w:val="18"/>
              </w:rPr>
              <w:t xml:space="preserve">прошедших обследование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индивидуальным планом ведения </w:t>
            </w:r>
            <w:r>
              <w:rPr>
                <w:sz w:val="18"/>
                <w:szCs w:val="18"/>
              </w:rPr>
              <w:br/>
              <w:t xml:space="preserve">в рамках диспансерного наблюдения, </w:t>
            </w:r>
            <w:r>
              <w:rPr>
                <w:sz w:val="18"/>
                <w:szCs w:val="18"/>
              </w:rPr>
              <w:br/>
              <w:t xml:space="preserve">из числа онкологических больных, завершивших лечение.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Одногодичная летальность больных </w:t>
            </w:r>
            <w:r>
              <w:rPr>
                <w:sz w:val="18"/>
                <w:szCs w:val="18"/>
              </w:rPr>
              <w:br/>
              <w:t xml:space="preserve">со </w:t>
            </w:r>
            <w:r>
              <w:rPr>
                <w:sz w:val="18"/>
                <w:szCs w:val="18"/>
              </w:rPr>
              <w:t xml:space="preserve">злокачествен-</w:t>
            </w:r>
            <w:r>
              <w:rPr>
                <w:sz w:val="18"/>
                <w:szCs w:val="18"/>
              </w:rPr>
              <w:t xml:space="preserve">ными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новообразова-ниями</w:t>
            </w:r>
            <w:r>
              <w:rPr>
                <w:sz w:val="18"/>
                <w:szCs w:val="18"/>
              </w:rPr>
              <w:t xml:space="preserve"> (умерли </w:t>
            </w:r>
            <w:r>
              <w:rPr>
                <w:sz w:val="18"/>
                <w:szCs w:val="18"/>
              </w:rPr>
              <w:br/>
              <w:t xml:space="preserve">в течение первого года </w:t>
            </w:r>
            <w:r>
              <w:rPr>
                <w:sz w:val="18"/>
                <w:szCs w:val="18"/>
              </w:rPr>
              <w:br/>
              <w:t xml:space="preserve">с момента установления диагноза </w:t>
            </w:r>
            <w:r>
              <w:rPr>
                <w:sz w:val="18"/>
                <w:szCs w:val="18"/>
              </w:rPr>
              <w:br/>
              <w:t xml:space="preserve">из числа больных, впервые взятых под диспансерное наблюдение </w:t>
            </w:r>
            <w:r>
              <w:rPr>
                <w:sz w:val="18"/>
                <w:szCs w:val="18"/>
              </w:rPr>
              <w:br/>
              <w:t xml:space="preserve">в предыдущем году)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1.3.Х.</w:t>
            </w:r>
            <w:r/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101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Результат создан с целью мониторинга достижения показателей Федерального проекта «Борьба с онкологическими заболеваниями»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3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Модернизированы, дооснащены </w:t>
            </w:r>
            <w:r>
              <w:rPr>
                <w:color w:val="000000"/>
                <w:spacing w:val="-2"/>
                <w:sz w:val="18"/>
                <w:szCs w:val="18"/>
              </w:rPr>
              <w:br/>
              <w:t xml:space="preserve">или переоснащены медицинским оборудованием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существующие и/или новые (организуемые) структурные подразделения региональных медицинских организаций, оказывающих медицинскую помощь </w:t>
            </w:r>
            <w:r>
              <w:rPr>
                <w:color w:val="000000"/>
                <w:spacing w:val="-2"/>
                <w:sz w:val="18"/>
                <w:szCs w:val="18"/>
              </w:rPr>
              <w:br/>
              <w:t xml:space="preserve">с применением радиологических методов (диагностики </w:t>
            </w:r>
            <w:r>
              <w:rPr>
                <w:color w:val="000000"/>
                <w:spacing w:val="-2"/>
                <w:sz w:val="18"/>
                <w:szCs w:val="18"/>
              </w:rPr>
              <w:br/>
              <w:t xml:space="preserve">и/или терапии)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2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Единица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2023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Приобрете-ние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товаров, работ,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ФП, РП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0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27" w:type="dxa"/>
            <w:textDirection w:val="lrTb"/>
            <w:noWrap w:val="false"/>
          </w:tcPr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живущих</w:t>
            </w:r>
            <w:r>
              <w:rPr>
                <w:sz w:val="18"/>
                <w:szCs w:val="18"/>
              </w:rPr>
              <w:br/>
              <w:t xml:space="preserve">5 и более лет </w:t>
            </w:r>
            <w:r>
              <w:rPr>
                <w:sz w:val="18"/>
                <w:szCs w:val="18"/>
              </w:rPr>
              <w:br/>
              <w:t xml:space="preserve">с момента установления </w:t>
            </w:r>
            <w:r>
              <w:rPr>
                <w:sz w:val="18"/>
                <w:szCs w:val="18"/>
              </w:rPr>
              <w:t xml:space="preserve">диагноза злокачественного новообразования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злокачественных </w:t>
            </w:r>
            <w:r>
              <w:rPr>
                <w:sz w:val="18"/>
                <w:szCs w:val="18"/>
              </w:rPr>
              <w:t xml:space="preserve">новообразова-ний</w:t>
            </w:r>
            <w:r>
              <w:rPr>
                <w:sz w:val="18"/>
                <w:szCs w:val="18"/>
              </w:rPr>
              <w:t xml:space="preserve">, выявленных на I стадии, </w:t>
            </w:r>
            <w:r>
              <w:rPr>
                <w:sz w:val="18"/>
                <w:szCs w:val="18"/>
              </w:rPr>
              <w:br/>
              <w:t xml:space="preserve">от общего числа случаев злокачественных новообразований визуальных локализаций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лиц, прошедших обследование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индивидуальным планом ведения </w:t>
            </w:r>
            <w:r>
              <w:rPr>
                <w:sz w:val="18"/>
                <w:szCs w:val="18"/>
              </w:rPr>
              <w:br/>
              <w:t xml:space="preserve">в рамках диспансерного наблюдения, 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 числа онкологических больных, завершивших лечение.</w:t>
            </w:r>
            <w:r/>
          </w:p>
          <w:p>
            <w:pPr>
              <w:pStyle w:val="8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Одногодичная летальность больных </w:t>
            </w:r>
            <w:r>
              <w:rPr>
                <w:sz w:val="18"/>
                <w:szCs w:val="18"/>
              </w:rPr>
              <w:br/>
              <w:t xml:space="preserve">со </w:t>
            </w:r>
            <w:r>
              <w:rPr>
                <w:sz w:val="18"/>
                <w:szCs w:val="18"/>
              </w:rPr>
              <w:t xml:space="preserve">злокачественны-ми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новообразова-ниями</w:t>
            </w:r>
            <w:r>
              <w:rPr>
                <w:sz w:val="18"/>
                <w:szCs w:val="18"/>
              </w:rPr>
              <w:t xml:space="preserve"> (умерли </w:t>
            </w:r>
            <w:r>
              <w:rPr>
                <w:sz w:val="18"/>
                <w:szCs w:val="18"/>
              </w:rPr>
              <w:br/>
              <w:t xml:space="preserve">в течение первого года </w:t>
            </w:r>
            <w:r>
              <w:rPr>
                <w:sz w:val="18"/>
                <w:szCs w:val="18"/>
              </w:rPr>
              <w:br/>
              <w:t xml:space="preserve">с момента установления </w:t>
            </w:r>
            <w:r>
              <w:rPr>
                <w:sz w:val="18"/>
                <w:szCs w:val="18"/>
              </w:rPr>
              <w:t xml:space="preserve">диагноза </w:t>
            </w:r>
            <w:r>
              <w:rPr>
                <w:sz w:val="18"/>
                <w:szCs w:val="18"/>
              </w:rPr>
              <w:br/>
              <w:t xml:space="preserve">из числа больных, впервые взятых под диспансерное наблюдение </w:t>
            </w:r>
            <w:r>
              <w:rPr>
                <w:sz w:val="18"/>
                <w:szCs w:val="18"/>
              </w:rPr>
              <w:br/>
              <w:t xml:space="preserve">в предыдущем году)</w:t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9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1.4.Х</w:t>
            </w:r>
            <w:r/>
          </w:p>
        </w:tc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5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За период 202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9 – 2030 годы модернизированы, дооснащены или переоснащены современным медицинским и/или иным оборудованием существующие и/или новые (организуемые) структурные подразделения региональных медицинских организаций, оказывающих медицинскую помощь с применением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радиологических методов, необходимых для проведения диагностики (однофотонная эмиссионная компьютерная томография, в том числе совмещенная с компьютерной томографией, позитронная эмиссионная томография, в том числе совмещенная с компьютерной томографией,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сцинтиграфия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и пр.), и оказания специализированной медицинской помощи с применением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радиофармпрепаратов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. Данные технологии используются для диагностики и лечения пациентов с сердечно-сосудистыми, онколо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гическими, эндокринологическими и неврологическими заболеваниями. Материально-техническая база структурных подразделений региональных медицинских организаций приведена в соответствие с современными требованиями к организации оказания медицинской с применен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ием радиологических методов, что позволит повысить доступность и качество проведения диагностики, оказания специализированной, в том числе высокотехнологичной, медицинской помощи на более высоком качественном уровне и обеспечит оказание медицинской помощи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br/>
              <w:t xml:space="preserve">в соответствии с клиническими рекомендациями, а также обеспечить развитие методов 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тераностики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842"/>
        <w:tblW w:w="5000" w:type="pc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35"/>
        <w:gridCol w:w="5234"/>
        <w:gridCol w:w="5235"/>
      </w:tblGrid>
      <w:tr>
        <w:trPr/>
        <w:tc>
          <w:tcPr>
            <w:tcW w:w="52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52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5235" w:type="dxa"/>
            <w:textDirection w:val="lrTb"/>
            <w:noWrap w:val="false"/>
          </w:tcPr>
          <w:p>
            <w:pPr>
              <w:jc w:val="center"/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/>
            <w:bookmarkStart w:id="6" w:name="sub_10285"/>
            <w:r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Приложение</w:t>
            </w:r>
            <w:bookmarkEnd w:id="6"/>
            <w:r/>
            <w:r/>
          </w:p>
          <w:p>
            <w:pPr>
              <w:jc w:val="center"/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к </w:t>
            </w:r>
            <w:hyperlink w:tooltip="#sub_1028" w:anchor="sub_1028" w:history="1">
              <w:r>
                <w:rPr>
                  <w:rStyle w:val="1351"/>
                  <w:rFonts w:ascii="Times New Roman" w:hAnsi="Times New Roman"/>
                  <w:b/>
                  <w:color w:val="auto"/>
                  <w:sz w:val="28"/>
                  <w:szCs w:val="28"/>
                </w:rPr>
                <w:t xml:space="preserve">паспорту</w:t>
              </w:r>
            </w:hyperlink>
            <w:r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регионального проекта</w:t>
            </w:r>
            <w:r/>
          </w:p>
          <w:p>
            <w:pPr>
              <w:jc w:val="center"/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«Борьба с онкологическими заболеваниями» (Д3),</w:t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352"/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входящего в национальный проект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713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План</w:t>
      </w:r>
      <w:r>
        <w:rPr>
          <w:sz w:val="28"/>
          <w:szCs w:val="28"/>
        </w:rPr>
        <w:br/>
        <w:t xml:space="preserve">реализации регионального проекта «Борьба с онкологическими заболеваниями» (Д3), </w:t>
      </w:r>
      <w:r>
        <w:rPr>
          <w:sz w:val="28"/>
          <w:szCs w:val="28"/>
        </w:rPr>
        <w:br/>
        <w:t xml:space="preserve">входящего в национальный проект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6"/>
        <w:gridCol w:w="1879"/>
        <w:gridCol w:w="1207"/>
        <w:gridCol w:w="1341"/>
        <w:gridCol w:w="1283"/>
        <w:gridCol w:w="1265"/>
        <w:gridCol w:w="1744"/>
        <w:gridCol w:w="1207"/>
        <w:gridCol w:w="938"/>
        <w:gridCol w:w="939"/>
        <w:gridCol w:w="1207"/>
        <w:gridCol w:w="1878"/>
      </w:tblGrid>
      <w:tr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</w:t>
            </w:r>
            <w:r/>
          </w:p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мероприятия (результата), объекта мероприятия (результата), контрольной точки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Сроки реализации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Взаимосвязь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Ответственный исполнитель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Адрес объекта </w:t>
            </w:r>
            <w:r>
              <w:rPr>
                <w:b/>
                <w:bCs/>
                <w:sz w:val="18"/>
                <w:szCs w:val="18"/>
              </w:rPr>
              <w:br/>
              <w:t xml:space="preserve">(в соответствии с ФИАС)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Мощность объекта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Объем финансового обеспечения (тыс. руб.)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vMerge w:val="restart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Вид документа </w:t>
            </w:r>
            <w:r>
              <w:rPr>
                <w:b/>
                <w:bCs/>
                <w:sz w:val="18"/>
                <w:szCs w:val="18"/>
              </w:rPr>
              <w:br/>
              <w:t xml:space="preserve">и характеристика мероприятия (результата)</w:t>
            </w:r>
            <w:r/>
          </w:p>
        </w:tc>
      </w:tr>
      <w:tr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начало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окончание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предшествен-ники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последователи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единица измерения (по </w:t>
            </w:r>
            <w:r>
              <w:rPr>
                <w:rStyle w:val="1351"/>
                <w:rFonts w:cs="Times New Roman CYR"/>
                <w:b/>
                <w:bCs/>
                <w:color w:val="auto"/>
                <w:sz w:val="18"/>
                <w:szCs w:val="18"/>
              </w:rPr>
              <w:t xml:space="preserve">ОКЕИ</w:t>
            </w:r>
            <w:r>
              <w:rPr>
                <w:b/>
                <w:bCs/>
                <w:sz w:val="18"/>
                <w:szCs w:val="18"/>
              </w:rPr>
              <w:t xml:space="preserve">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значение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vMerge w:val="continue"/>
            <w:textDirection w:val="lrTb"/>
            <w:noWrap w:val="false"/>
          </w:tcPr>
          <w:p>
            <w:pPr>
              <w:pStyle w:val="859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/>
          </w:p>
        </w:tc>
      </w:tr>
      <w:tr>
        <w:trPr>
          <w:jc w:val="center"/>
          <w:tblHeader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12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1.</w:t>
            </w:r>
            <w:r/>
          </w:p>
        </w:tc>
        <w:tc>
          <w:tcPr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4888" w:type="dxa"/>
            <w:textDirection w:val="lrTb"/>
            <w:noWrap w:val="false"/>
          </w:tcPr>
          <w:p>
            <w:pPr>
              <w:pStyle w:val="860"/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Задача «К 2030 году доступность диагностики и лечения онкологических заболеваний позволит увеличить на 7 % количество пациентов со злокачественными новообразованиями, живущих более 5 лет»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</w:t>
            </w:r>
            <w:r>
              <w:rPr>
                <w:sz w:val="18"/>
                <w:szCs w:val="18"/>
              </w:rPr>
              <w:t xml:space="preserve">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</w:t>
            </w:r>
            <w:r>
              <w:rPr>
                <w:sz w:val="18"/>
                <w:szCs w:val="18"/>
              </w:rPr>
              <w:t xml:space="preserve">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</w:t>
            </w:r>
            <w:r>
              <w:rPr>
                <w:sz w:val="18"/>
                <w:szCs w:val="18"/>
              </w:rPr>
              <w:t xml:space="preserve">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Паспорт регионального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04.03.2025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Паспорт регионального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онкологической помощи за 1 квартал 2025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25.04.2025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1 квартал 2025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проект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главным внештатным специалистом Министерства здравоохранения Российской Федерации»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28.05.2025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Согласованный проект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с главным внештатным специалистом Министерства здравоохранения Российской Федерации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</w:rPr>
              <w:t xml:space="preserve">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2025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2025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1.1.1.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о реализации мероприятий региональных программ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2025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</w:t>
            </w:r>
            <w:r>
              <w:rPr>
                <w:sz w:val="18"/>
                <w:szCs w:val="18"/>
              </w:rPr>
              <w:t xml:space="preserve">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</w:t>
            </w:r>
            <w:r>
              <w:rPr>
                <w:sz w:val="18"/>
                <w:szCs w:val="18"/>
              </w:rPr>
              <w:t xml:space="preserve">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</w:t>
            </w:r>
            <w:r>
              <w:rPr>
                <w:sz w:val="18"/>
                <w:szCs w:val="18"/>
              </w:rPr>
              <w:t xml:space="preserve">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</w:t>
            </w:r>
            <w:r>
              <w:rPr>
                <w:sz w:val="18"/>
                <w:szCs w:val="18"/>
              </w:rPr>
              <w:t xml:space="preserve">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</w:t>
            </w:r>
            <w:r>
              <w:rPr>
                <w:sz w:val="18"/>
                <w:szCs w:val="18"/>
              </w:rPr>
              <w:t xml:space="preserve">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онкологической помощи за 2025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</w:t>
            </w:r>
            <w:r>
              <w:rPr>
                <w:sz w:val="18"/>
                <w:szCs w:val="18"/>
              </w:rPr>
              <w:t xml:space="preserve">.02.2026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2025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региональных программ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2025 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24.02.2026</w:t>
            </w:r>
            <w:r/>
          </w:p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2025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</w:t>
            </w:r>
            <w:r>
              <w:rPr>
                <w:sz w:val="18"/>
                <w:szCs w:val="18"/>
              </w:rPr>
              <w:t xml:space="preserve">онкологической помощи за 1 квартал 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27.04.2026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</w:t>
            </w:r>
            <w:r>
              <w:rPr>
                <w:sz w:val="18"/>
                <w:szCs w:val="18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</w:t>
            </w:r>
            <w:r>
              <w:rPr>
                <w:sz w:val="18"/>
                <w:szCs w:val="18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</w:t>
            </w:r>
            <w:r>
              <w:rPr>
                <w:sz w:val="18"/>
                <w:szCs w:val="18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</w:t>
            </w:r>
            <w:r>
              <w:rPr>
                <w:sz w:val="18"/>
                <w:szCs w:val="18"/>
              </w:rPr>
              <w:t xml:space="preserve">о дельности центров амбулаторной онкологической помощи за 1 квартал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региональных программ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28.04.2026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29.06.2026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1.1.2. К.9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2026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</w:t>
            </w:r>
            <w:r>
              <w:rPr>
                <w:sz w:val="18"/>
                <w:szCs w:val="18"/>
              </w:rPr>
              <w:t xml:space="preserve">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</w:t>
            </w:r>
            <w:r>
              <w:rPr>
                <w:sz w:val="18"/>
                <w:szCs w:val="18"/>
              </w:rPr>
              <w:t xml:space="preserve">Степановна,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</w:t>
            </w:r>
            <w:r>
              <w:rPr>
                <w:sz w:val="18"/>
                <w:szCs w:val="18"/>
              </w:rPr>
              <w:t xml:space="preserve">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2026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24.02.2027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</w:rPr>
              <w:t xml:space="preserve">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2026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2026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2026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квартал 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27.04.2027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1 квартал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</w:t>
            </w:r>
            <w:r>
              <w:rPr>
                <w:sz w:val="18"/>
                <w:szCs w:val="18"/>
              </w:rPr>
              <w:t xml:space="preserve">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28.04.2027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</w:t>
            </w:r>
            <w:r>
              <w:rPr>
                <w:sz w:val="18"/>
                <w:szCs w:val="18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</w:t>
            </w:r>
            <w:r>
              <w:rPr>
                <w:sz w:val="18"/>
                <w:szCs w:val="18"/>
              </w:rPr>
              <w:t xml:space="preserve">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29.06.2027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27.10.2027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</w:rPr>
              <w:t xml:space="preserve">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1.1.3. К.9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2027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28.10.2027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</w:t>
            </w:r>
            <w:r>
              <w:rPr>
                <w:sz w:val="18"/>
                <w:szCs w:val="18"/>
              </w:rPr>
              <w:t xml:space="preserve">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2027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24.02.2028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2027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2027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2027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квартал 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26.04.2028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1 квартал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27.04.2028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29.06.2028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</w:t>
            </w:r>
            <w:r>
              <w:rPr>
                <w:sz w:val="18"/>
                <w:szCs w:val="18"/>
              </w:rPr>
              <w:t xml:space="preserve">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</w:t>
            </w:r>
            <w:r>
              <w:rPr>
                <w:sz w:val="18"/>
                <w:szCs w:val="18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</w:t>
            </w:r>
            <w:r>
              <w:rPr>
                <w:sz w:val="18"/>
                <w:szCs w:val="18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</w:t>
            </w:r>
            <w:r>
              <w:rPr>
                <w:sz w:val="18"/>
                <w:szCs w:val="18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</w:t>
            </w:r>
            <w:r>
              <w:rPr>
                <w:sz w:val="18"/>
                <w:szCs w:val="18"/>
              </w:rPr>
              <w:t xml:space="preserve">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26.10.2028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1–- 3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1.1.4. К.9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2028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27.10.2028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</w:t>
            </w:r>
            <w:r>
              <w:rPr>
                <w:sz w:val="18"/>
                <w:szCs w:val="18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</w:t>
            </w:r>
            <w:r>
              <w:rPr>
                <w:sz w:val="18"/>
                <w:szCs w:val="18"/>
              </w:rPr>
              <w:t xml:space="preserve">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</w:t>
            </w:r>
            <w:r>
              <w:rPr>
                <w:sz w:val="18"/>
                <w:szCs w:val="18"/>
              </w:rPr>
              <w:t xml:space="preserve">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2028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</w:t>
            </w:r>
            <w:r>
              <w:rPr>
                <w:sz w:val="18"/>
                <w:szCs w:val="18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</w:t>
            </w:r>
            <w:r>
              <w:rPr>
                <w:sz w:val="18"/>
                <w:szCs w:val="18"/>
              </w:rPr>
              <w:t xml:space="preserve">онкологической помощи за 2028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2028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2028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1 квартал 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26.04.2029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1 квартал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27.04.2029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28.06.2029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</w:t>
            </w:r>
            <w:r>
              <w:rPr>
                <w:sz w:val="18"/>
                <w:szCs w:val="18"/>
              </w:rPr>
              <w:t xml:space="preserve">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</w:t>
            </w:r>
            <w:r>
              <w:rPr>
                <w:sz w:val="18"/>
                <w:szCs w:val="18"/>
              </w:rPr>
              <w:t xml:space="preserve">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29.10.2029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1.1.5. К.9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2029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30.10.2029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с онкологическими заболеваниями» за 1 - 3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«Разработаны, утверждены </w:t>
            </w:r>
            <w:r>
              <w:rPr>
                <w:sz w:val="18"/>
                <w:szCs w:val="18"/>
              </w:rPr>
              <w:br/>
              <w:t xml:space="preserve">и реализованы региональные </w:t>
            </w:r>
            <w:r>
              <w:rPr>
                <w:sz w:val="18"/>
                <w:szCs w:val="18"/>
              </w:rPr>
              <w:t xml:space="preserve">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первый заместитель министра здравоохранения Белгородской </w:t>
            </w:r>
            <w:r>
              <w:rPr>
                <w:sz w:val="18"/>
                <w:szCs w:val="18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заболеваниями». </w:t>
            </w:r>
            <w:r>
              <w:rPr>
                <w:sz w:val="18"/>
                <w:szCs w:val="18"/>
              </w:rPr>
              <w:t xml:space="preserve">Разработана, утверждена </w:t>
            </w:r>
            <w:r>
              <w:rPr>
                <w:sz w:val="18"/>
                <w:szCs w:val="18"/>
              </w:rPr>
              <w:br/>
              <w:t xml:space="preserve">и реализована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заболеваниями», которая включает комплекс мероприятий до 2030 года, направленный </w:t>
            </w:r>
            <w:r>
              <w:rPr>
                <w:sz w:val="18"/>
                <w:szCs w:val="18"/>
              </w:rPr>
              <w:br/>
              <w:t xml:space="preserve">на совершенствование профилактики </w:t>
            </w:r>
            <w:r>
              <w:rPr>
                <w:sz w:val="18"/>
                <w:szCs w:val="18"/>
              </w:rPr>
              <w:br/>
              <w:t xml:space="preserve">и раннего выявления злокачественных новообразований, повышение эффективности диагностики и лечения злокачественных новообразований </w:t>
            </w:r>
            <w:r>
              <w:rPr>
                <w:sz w:val="18"/>
                <w:szCs w:val="18"/>
              </w:rPr>
              <w:br/>
              <w:t xml:space="preserve">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повышение доступности высокотехнологичных методов лечения </w:t>
            </w:r>
            <w:r>
              <w:rPr>
                <w:sz w:val="18"/>
                <w:szCs w:val="18"/>
              </w:rPr>
              <w:br/>
              <w:t xml:space="preserve">для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повышение профессиональной квалификации медицинского персонала первичного звена здравоохранения, врачей-онкологов, врачей-</w:t>
            </w:r>
            <w:r>
              <w:rPr>
                <w:sz w:val="18"/>
                <w:szCs w:val="18"/>
              </w:rPr>
              <w:t xml:space="preserve">радиотерапевтов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и других специалистов, </w:t>
            </w:r>
            <w:r>
              <w:rPr>
                <w:sz w:val="18"/>
                <w:szCs w:val="18"/>
              </w:rPr>
              <w:t xml:space="preserve">участвующих </w:t>
            </w:r>
            <w:r>
              <w:rPr>
                <w:sz w:val="18"/>
                <w:szCs w:val="18"/>
              </w:rPr>
              <w:br/>
              <w:t xml:space="preserve">в оказании специализированной медицинской помощи населению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развитие мероприятий реабилитации онкологических больных, в том числе за счет внедрения современных программ медицинской реабилитации </w:t>
            </w:r>
            <w:r>
              <w:rPr>
                <w:sz w:val="18"/>
                <w:szCs w:val="18"/>
              </w:rPr>
              <w:br/>
              <w:t xml:space="preserve">и программ психосоциальной поддержки онкологических больных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2029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2029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2029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</w:t>
            </w:r>
            <w:r>
              <w:rPr>
                <w:sz w:val="18"/>
                <w:szCs w:val="18"/>
              </w:rPr>
              <w:t xml:space="preserve">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</w:t>
            </w:r>
            <w:r>
              <w:rPr>
                <w:sz w:val="18"/>
                <w:szCs w:val="18"/>
              </w:rPr>
              <w:t xml:space="preserve">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</w:t>
            </w:r>
            <w:r>
              <w:rPr>
                <w:sz w:val="18"/>
                <w:szCs w:val="18"/>
              </w:rPr>
              <w:t xml:space="preserve">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2029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за 1 квартал 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25.04.2030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за 1 квартал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26.04.2030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</w:t>
            </w:r>
            <w:r>
              <w:rPr>
                <w:sz w:val="18"/>
                <w:szCs w:val="18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</w:t>
            </w:r>
            <w:r>
              <w:rPr>
                <w:sz w:val="18"/>
                <w:szCs w:val="18"/>
              </w:rPr>
              <w:t xml:space="preserve">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«Актуализирована региональная программа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28.06.2030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</w:t>
            </w:r>
            <w:r>
              <w:rPr>
                <w:sz w:val="18"/>
                <w:szCs w:val="18"/>
              </w:rPr>
              <w:br/>
              <w:t xml:space="preserve">«Об утверждении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</w:t>
            </w:r>
            <w:r>
              <w:rPr>
                <w:sz w:val="18"/>
                <w:szCs w:val="18"/>
              </w:rPr>
              <w:t xml:space="preserve">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2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</w:t>
            </w:r>
            <w:r>
              <w:rPr>
                <w:sz w:val="18"/>
                <w:szCs w:val="18"/>
              </w:rPr>
              <w:br/>
              <w:t xml:space="preserve">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28.10.2030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</w:rPr>
              <w:t xml:space="preserve">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деятельности центров амбулаторной онкологической помощи </w:t>
            </w:r>
            <w:r>
              <w:rPr>
                <w:sz w:val="18"/>
                <w:szCs w:val="18"/>
              </w:rPr>
              <w:br/>
              <w:t xml:space="preserve">за 1 – 3 кварталы отчетного периода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</w:t>
            </w:r>
            <w:r>
              <w:rPr>
                <w:sz w:val="18"/>
                <w:szCs w:val="18"/>
              </w:rPr>
              <w:br/>
              <w:t xml:space="preserve">2030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29.10.2030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К.10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2030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Белгородской области о реализации мероприятий региональной программы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 </w:t>
            </w:r>
            <w:r>
              <w:rPr>
                <w:sz w:val="18"/>
                <w:szCs w:val="18"/>
              </w:rPr>
              <w:br/>
              <w:t xml:space="preserve">за 2030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1.1.6. К.11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«Представлен отчет </w:t>
            </w:r>
            <w:r>
              <w:rPr>
                <w:sz w:val="18"/>
                <w:szCs w:val="18"/>
              </w:rPr>
              <w:br/>
              <w:t xml:space="preserve">о деятельности центров </w:t>
            </w:r>
            <w:r>
              <w:rPr>
                <w:sz w:val="18"/>
                <w:szCs w:val="18"/>
              </w:rPr>
              <w:t xml:space="preserve">амбулаторной онкологической помощи за 2030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</w:t>
            </w:r>
            <w:r>
              <w:rPr>
                <w:sz w:val="18"/>
                <w:szCs w:val="18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отчета </w:t>
            </w:r>
            <w:r>
              <w:rPr>
                <w:sz w:val="18"/>
                <w:szCs w:val="18"/>
              </w:rPr>
              <w:t xml:space="preserve">Белгородской области о деятельности центров амбулаторной онкологической помощи за 2030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</w:t>
            </w:r>
            <w:r>
              <w:rPr>
                <w:sz w:val="18"/>
                <w:szCs w:val="18"/>
              </w:rPr>
              <w:t xml:space="preserve">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</w:t>
            </w:r>
            <w:r>
              <w:rPr>
                <w:sz w:val="18"/>
                <w:szCs w:val="18"/>
              </w:rPr>
              <w:t xml:space="preserve">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</w:t>
            </w:r>
            <w:r>
              <w:rPr>
                <w:sz w:val="18"/>
                <w:szCs w:val="18"/>
              </w:rPr>
              <w:t xml:space="preserve">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обеспечения территориальной доступности </w:t>
            </w:r>
            <w:r>
              <w:rPr>
                <w:sz w:val="18"/>
                <w:szCs w:val="18"/>
              </w:rPr>
              <w:t xml:space="preserve">медицинской помощи» в 2025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</w:t>
            </w:r>
            <w:r>
              <w:rPr>
                <w:sz w:val="18"/>
                <w:szCs w:val="18"/>
              </w:rPr>
              <w:t xml:space="preserve">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</w:t>
            </w:r>
            <w:r>
              <w:rPr>
                <w:sz w:val="18"/>
                <w:szCs w:val="18"/>
              </w:rPr>
              <w:t xml:space="preserve">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паспорт регионального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04.03.2025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Паспорт регионального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17.04.2025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региональными органами исполнительной власти в сфере охраны здоровья отражена информация о количестве медицинских организаций, оказывающих медицинскую помощь пациентам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их оснащенности, 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  <w:t xml:space="preserve">для оценки функционирования службы. Обоснована необходимость дооснащения медицинских </w:t>
            </w:r>
            <w:r>
              <w:rPr>
                <w:sz w:val="18"/>
                <w:szCs w:val="18"/>
              </w:rPr>
              <w:t xml:space="preserve">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«Использованы сформированные главными внештатными специалистами Министерства здравоохранения Российской Федерации рекомендации </w:t>
            </w:r>
            <w:r>
              <w:rPr>
                <w:sz w:val="18"/>
                <w:szCs w:val="18"/>
              </w:rPr>
              <w:br/>
              <w:t xml:space="preserve">по структуре </w:t>
            </w:r>
            <w:r>
              <w:rPr>
                <w:sz w:val="18"/>
                <w:szCs w:val="18"/>
              </w:rPr>
              <w:br/>
              <w:t xml:space="preserve">и наполнению разделов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Входящее письмо Министерства здравоохранения Российской Федерации об использовании сформированных главными внештатными специалистами Министерства здравоохранения Российской Федерации рекомендаций </w:t>
            </w:r>
            <w:r>
              <w:rPr>
                <w:sz w:val="18"/>
                <w:szCs w:val="18"/>
              </w:rPr>
              <w:br/>
              <w:t xml:space="preserve">по структуре </w:t>
            </w:r>
            <w:r>
              <w:rPr>
                <w:sz w:val="18"/>
                <w:szCs w:val="18"/>
              </w:rPr>
              <w:br/>
              <w:t xml:space="preserve">и наполнению разделов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</w:t>
            </w:r>
            <w:r>
              <w:rPr>
                <w:sz w:val="18"/>
                <w:szCs w:val="18"/>
              </w:rPr>
              <w:br/>
              <w:t xml:space="preserve">с главными внештатными специалистами Министерства здравоохранения Российской Федерации проект порядка маршрутизации пациентов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26.09.2025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Прочий тип документа.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Согласованный проект порядка маршрутизации</w:t>
            </w:r>
            <w:r/>
          </w:p>
          <w:p>
            <w:pPr>
              <w:ind w:left="34" w:right="78" w:hanging="14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пациентов с подозрением на онкологические</w:t>
            </w:r>
            <w:r/>
          </w:p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заболевания и пациентов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онкологически</w:t>
            </w:r>
            <w:r/>
          </w:p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заболеваниями от момента</w:t>
            </w:r>
            <w:r/>
          </w:p>
          <w:p>
            <w:pPr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выявления подозрения заболевания до момента прекращения</w:t>
            </w:r>
            <w:r/>
          </w:p>
          <w:p>
            <w:pPr>
              <w:ind w:left="89" w:hanging="89"/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диспансерного наблюдения</w:t>
            </w:r>
            <w:r/>
          </w:p>
          <w:p>
            <w:pPr>
              <w:ind w:firstLine="34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Главным внештатными специалистом</w:t>
            </w:r>
            <w:r/>
          </w:p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здравоохранения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Российской Федерации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актуализированный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r>
              <w:rPr>
                <w:sz w:val="18"/>
                <w:szCs w:val="18"/>
              </w:rPr>
              <w:br/>
              <w:t xml:space="preserve">«Об утверждении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1.2.1.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«Размещен </w:t>
            </w:r>
            <w:r>
              <w:rPr>
                <w:sz w:val="18"/>
                <w:szCs w:val="18"/>
              </w:rPr>
              <w:br/>
              <w:t xml:space="preserve">на официальном сайте министерства здравоохранения Белгородской области утвержденный нормативный правовой акт о порядке </w:t>
            </w:r>
            <w:r>
              <w:rPr>
                <w:sz w:val="18"/>
                <w:szCs w:val="18"/>
              </w:rPr>
              <w:t xml:space="preserve">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27.11.2025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с иными результатами 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- начальник отдела организации медицинской помощи взрослому </w:t>
            </w:r>
            <w:r>
              <w:rPr>
                <w:sz w:val="18"/>
                <w:szCs w:val="18"/>
              </w:rPr>
              <w:t xml:space="preserve">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на сайте министерства здравоохранения Белгородской области актуализированного приказа о порядке маршрутизации пациентов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 в 2026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</w:t>
            </w:r>
            <w:r>
              <w:rPr>
                <w:sz w:val="18"/>
                <w:szCs w:val="18"/>
              </w:rPr>
              <w:t xml:space="preserve">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</w:t>
            </w:r>
            <w:r>
              <w:rPr>
                <w:sz w:val="18"/>
                <w:szCs w:val="18"/>
              </w:rPr>
              <w:t xml:space="preserve">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</w:t>
            </w:r>
            <w:r>
              <w:rPr>
                <w:sz w:val="18"/>
                <w:szCs w:val="18"/>
              </w:rPr>
              <w:t xml:space="preserve">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27.03.2026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региональными органами исполнительной власти в сфере охраны здоровья отражена информация </w:t>
            </w:r>
            <w:r>
              <w:rPr>
                <w:sz w:val="18"/>
                <w:szCs w:val="18"/>
              </w:rPr>
              <w:br/>
              <w:t xml:space="preserve">о количестве медицинских организаций, оказывающих медицинскую помощь </w:t>
            </w:r>
            <w:r>
              <w:rPr>
                <w:sz w:val="18"/>
                <w:szCs w:val="18"/>
              </w:rPr>
              <w:t xml:space="preserve">пациентам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их оснащенности, 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  <w:t xml:space="preserve">для оценки функционирования службы. Обоснована необходимость дооснащения медицинских 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момента выявления подозрения заболевания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момента </w:t>
            </w:r>
            <w:r>
              <w:rPr>
                <w:sz w:val="18"/>
                <w:szCs w:val="18"/>
              </w:rPr>
              <w:t xml:space="preserve">прекращения диспансерного наблюдения 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1 квартал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02.04.2026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</w:t>
            </w:r>
            <w:r>
              <w:rPr>
                <w:sz w:val="18"/>
                <w:szCs w:val="18"/>
              </w:rPr>
              <w:t xml:space="preserve">диспансерного наблюдения </w:t>
            </w:r>
            <w:r>
              <w:rPr>
                <w:sz w:val="18"/>
                <w:szCs w:val="18"/>
              </w:rPr>
              <w:br/>
              <w:t xml:space="preserve">за 1 квартал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06.07.2026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– 2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</w:t>
            </w:r>
            <w:r>
              <w:rPr>
                <w:sz w:val="18"/>
                <w:szCs w:val="18"/>
              </w:rPr>
              <w:t xml:space="preserve">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29.10.2026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</w:t>
            </w:r>
            <w:r>
              <w:rPr>
                <w:sz w:val="18"/>
                <w:szCs w:val="18"/>
              </w:rPr>
              <w:t xml:space="preserve">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– 3 кварталы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Белгородской области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</w:t>
            </w:r>
            <w:r>
              <w:rPr>
                <w:sz w:val="18"/>
                <w:szCs w:val="18"/>
              </w:rPr>
              <w:t xml:space="preserve">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30.11.2026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  <w:t xml:space="preserve">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на основании анализа за предыдущий период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1.2.2.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5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год»</w:t>
            </w:r>
            <w:r/>
          </w:p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18.12.2026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 в 2027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</w:t>
            </w:r>
            <w:r>
              <w:rPr>
                <w:sz w:val="18"/>
                <w:szCs w:val="18"/>
              </w:rPr>
              <w:t xml:space="preserve">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</w:t>
            </w:r>
            <w:r>
              <w:rPr>
                <w:sz w:val="18"/>
                <w:szCs w:val="18"/>
              </w:rPr>
              <w:t xml:space="preserve">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</w:t>
            </w:r>
            <w:r>
              <w:rPr>
                <w:sz w:val="18"/>
                <w:szCs w:val="18"/>
              </w:rPr>
              <w:t xml:space="preserve">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</w:t>
            </w:r>
            <w:r>
              <w:rPr>
                <w:sz w:val="18"/>
                <w:szCs w:val="18"/>
              </w:rPr>
              <w:br/>
              <w:t xml:space="preserve">с главными внештатными специалистами Министерства здравоохранения Российской Федерации проект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Прочий тип документа.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Согласование проекта порядка маршрутизации</w:t>
            </w:r>
            <w:r/>
          </w:p>
          <w:p>
            <w:pPr>
              <w:ind w:left="76"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пациентов с подозрением на онкологические</w:t>
            </w:r>
            <w:r/>
          </w:p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заболевания и пациентов с онкологическими</w:t>
            </w:r>
            <w:r/>
          </w:p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заболеваниями от момента выявления подозрения</w:t>
            </w:r>
            <w:r/>
          </w:p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заболевания до момента прекращения</w:t>
            </w:r>
            <w:r/>
          </w:p>
          <w:p>
            <w:pPr>
              <w:ind w:left="89" w:right="-72"/>
              <w:jc w:val="center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диспансерного наблюдения</w:t>
            </w:r>
            <w:r/>
          </w:p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Главным внештатными специалистом</w:t>
            </w:r>
            <w:r/>
          </w:p>
          <w:p>
            <w:pPr>
              <w:ind w:right="-72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здравоохранения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Российской Федерации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</w:t>
            </w:r>
            <w:r>
              <w:rPr>
                <w:sz w:val="18"/>
                <w:szCs w:val="18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 органом исполнительной власти в сфере охраны здоровья отражена информация </w:t>
            </w:r>
            <w:r>
              <w:rPr>
                <w:sz w:val="18"/>
                <w:szCs w:val="18"/>
              </w:rPr>
              <w:br/>
              <w:t xml:space="preserve">о количестве медицинских организаций, оказывающих медицинскую помощь пациентам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онкологическими заболеваниями, их оснащенности, 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  <w:t xml:space="preserve">для оценки функционирования службы. Обоснована необходимость дооснащения медицинских 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актуализированный </w:t>
            </w:r>
            <w:r>
              <w:rPr>
                <w:sz w:val="18"/>
                <w:szCs w:val="18"/>
              </w:rPr>
              <w:br/>
              <w:t xml:space="preserve">на основании предложений главных внештатных специалистов Министерства здравоохранения Российской Федерации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30.03.2027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r>
              <w:rPr>
                <w:sz w:val="18"/>
                <w:szCs w:val="18"/>
              </w:rPr>
              <w:br/>
              <w:t xml:space="preserve">«Об утверждении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«Размещен </w:t>
            </w:r>
            <w:r>
              <w:rPr>
                <w:sz w:val="18"/>
                <w:szCs w:val="18"/>
              </w:rPr>
              <w:br/>
              <w:t xml:space="preserve">на официальном сайте министерства здравоохранения Белгородской области утвержденный нормативный правовой акт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13.05.2027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на сайте министерства здравоохранения Белгородской области актуализированного приказа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</w:t>
            </w:r>
            <w:r>
              <w:rPr>
                <w:sz w:val="18"/>
                <w:szCs w:val="18"/>
              </w:rPr>
              <w:t xml:space="preserve">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02.07.2027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</w:rPr>
              <w:t xml:space="preserve">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Белгородской области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</w:t>
            </w:r>
            <w:r>
              <w:rPr>
                <w:sz w:val="18"/>
                <w:szCs w:val="18"/>
              </w:rPr>
              <w:t xml:space="preserve">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29.11.2027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</w:t>
            </w:r>
            <w:r>
              <w:rPr>
                <w:sz w:val="18"/>
                <w:szCs w:val="18"/>
              </w:rPr>
              <w:t xml:space="preserve">наблюдения </w:t>
            </w:r>
            <w:r>
              <w:rPr>
                <w:sz w:val="18"/>
                <w:szCs w:val="18"/>
              </w:rPr>
              <w:br/>
              <w:t xml:space="preserve">на основании анализа за предыдущий период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1.2.3.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в субъектах </w:t>
            </w:r>
            <w:r>
              <w:rPr>
                <w:sz w:val="18"/>
                <w:szCs w:val="18"/>
              </w:rPr>
              <w:br/>
              <w:t xml:space="preserve">за отчетный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20.12.2027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</w:t>
            </w:r>
            <w:r>
              <w:rPr>
                <w:sz w:val="18"/>
                <w:szCs w:val="18"/>
              </w:rPr>
              <w:t xml:space="preserve">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 в 2028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</w:t>
            </w:r>
            <w:r>
              <w:rPr>
                <w:sz w:val="18"/>
                <w:szCs w:val="18"/>
              </w:rPr>
              <w:t xml:space="preserve">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</w:t>
            </w:r>
            <w:r>
              <w:rPr>
                <w:sz w:val="18"/>
                <w:szCs w:val="18"/>
              </w:rPr>
              <w:t xml:space="preserve">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</w:t>
            </w:r>
            <w:r>
              <w:rPr>
                <w:sz w:val="18"/>
                <w:szCs w:val="18"/>
              </w:rPr>
              <w:br/>
              <w:t xml:space="preserve">с главными </w:t>
            </w:r>
            <w:r>
              <w:rPr>
                <w:sz w:val="18"/>
                <w:szCs w:val="18"/>
              </w:rPr>
              <w:t xml:space="preserve">внештатными специалистами Министерства здравоохранения Российской Федерации проект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</w:t>
            </w:r>
            <w:r>
              <w:rPr>
                <w:sz w:val="18"/>
                <w:szCs w:val="18"/>
              </w:rPr>
              <w:t xml:space="preserve">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Прочий тип документа.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Согласование проекта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порядка маршрутизации</w:t>
            </w:r>
            <w:r/>
          </w:p>
          <w:p>
            <w:pPr>
              <w:ind w:left="76" w:right="78"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пациентов с подозрением на онкологические заболевания и пациентов с онкологическими заболеваниями от момента выявления подозрения заболевания до момента прекращения диспансерного наблюдения</w:t>
            </w:r>
            <w:r/>
          </w:p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Главным внештатными специалистом</w:t>
            </w:r>
            <w:r/>
          </w:p>
          <w:p>
            <w:pPr>
              <w:ind w:hanging="108"/>
              <w:jc w:val="center"/>
              <w:spacing w:after="0" w:line="23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Министерства здравоохранения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Российской Федерации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28.03.2028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 органом исполнительной власти в сфере охраны здоровья отражена информация </w:t>
            </w:r>
            <w:r>
              <w:rPr>
                <w:sz w:val="18"/>
                <w:szCs w:val="18"/>
              </w:rPr>
              <w:br/>
              <w:t xml:space="preserve">о количестве медицинских организаций, оказывающих медицинскую помощь пациентам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их оснащенности, </w:t>
            </w:r>
            <w:r>
              <w:rPr>
                <w:sz w:val="18"/>
                <w:szCs w:val="18"/>
              </w:rPr>
              <w:t xml:space="preserve">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  <w:t xml:space="preserve">для оценки функционирования службы. Обоснована необходимость дооснащения медицинских 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актуализированный </w:t>
            </w:r>
            <w:r>
              <w:rPr>
                <w:sz w:val="18"/>
                <w:szCs w:val="18"/>
              </w:rPr>
              <w:br/>
              <w:t xml:space="preserve">на основании предложений главных внештатных специалистов Министерства здравоохранения Российской Федерации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</w:t>
            </w:r>
            <w:r>
              <w:rPr>
                <w:sz w:val="18"/>
                <w:szCs w:val="18"/>
              </w:rPr>
              <w:t xml:space="preserve">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r>
              <w:rPr>
                <w:sz w:val="18"/>
                <w:szCs w:val="18"/>
              </w:rPr>
              <w:br/>
              <w:t xml:space="preserve">«Об утверждении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«Размещен </w:t>
            </w:r>
            <w:r>
              <w:rPr>
                <w:sz w:val="18"/>
                <w:szCs w:val="18"/>
              </w:rPr>
              <w:br/>
              <w:t xml:space="preserve">на официальном сайте министерства здравоохранения Белгородской области утвержденный нормативный правовой акт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12.05.2028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на сайте министерства здравоохранения Белгородской области актуализированного приказа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</w:t>
            </w:r>
            <w:r>
              <w:rPr>
                <w:sz w:val="18"/>
                <w:szCs w:val="18"/>
              </w:rPr>
              <w:t xml:space="preserve">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04.07.2028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</w:t>
            </w:r>
            <w:r>
              <w:rPr>
                <w:sz w:val="18"/>
                <w:szCs w:val="18"/>
              </w:rPr>
              <w:t xml:space="preserve">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Белгородской области для формирования предложений главных внештатных специалистов Министерства здравоохранения Российской Федерации 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30.11.2028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на основании анализа за предыдущий период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1.2.4.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19.12.2028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</w:t>
            </w:r>
            <w:r>
              <w:rPr>
                <w:sz w:val="18"/>
                <w:szCs w:val="18"/>
              </w:rPr>
              <w:t xml:space="preserve">доступности медицинской помощи» 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</w:t>
            </w:r>
            <w:r>
              <w:rPr>
                <w:sz w:val="18"/>
                <w:szCs w:val="18"/>
              </w:rPr>
              <w:t xml:space="preserve">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</w:t>
            </w:r>
            <w:r>
              <w:rPr>
                <w:sz w:val="18"/>
                <w:szCs w:val="18"/>
              </w:rPr>
              <w:t xml:space="preserve">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</w:t>
            </w:r>
            <w:r>
              <w:rPr>
                <w:sz w:val="18"/>
                <w:szCs w:val="18"/>
              </w:rPr>
              <w:t xml:space="preserve">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</w:t>
            </w:r>
            <w:r>
              <w:rPr>
                <w:sz w:val="18"/>
                <w:szCs w:val="18"/>
              </w:rPr>
              <w:br/>
              <w:t xml:space="preserve">с главными внештатными специалистами Министерства здравоохранения </w:t>
            </w:r>
            <w:r>
              <w:rPr>
                <w:sz w:val="18"/>
                <w:szCs w:val="18"/>
              </w:rPr>
              <w:t xml:space="preserve">Российской Федерации проект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специалист-онколог министерства здравоохранения Белгородской </w:t>
            </w:r>
            <w:r>
              <w:rPr>
                <w:sz w:val="18"/>
                <w:szCs w:val="18"/>
              </w:rPr>
              <w:t xml:space="preserve">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Согласован</w:t>
            </w:r>
            <w:r>
              <w:rPr>
                <w:sz w:val="18"/>
                <w:szCs w:val="18"/>
              </w:rPr>
              <w:t xml:space="preserve">ие</w:t>
            </w:r>
            <w:r>
              <w:rPr>
                <w:sz w:val="18"/>
                <w:szCs w:val="18"/>
              </w:rPr>
              <w:t xml:space="preserve"> проект</w:t>
            </w:r>
            <w:r>
              <w:rPr>
                <w:sz w:val="18"/>
                <w:szCs w:val="18"/>
              </w:rPr>
              <w:t xml:space="preserve">а</w:t>
            </w:r>
            <w:r>
              <w:rPr>
                <w:sz w:val="18"/>
                <w:szCs w:val="18"/>
              </w:rPr>
              <w:t xml:space="preserve"> порядк</w:t>
            </w:r>
            <w:r>
              <w:rPr>
                <w:sz w:val="18"/>
                <w:szCs w:val="18"/>
              </w:rPr>
              <w:t xml:space="preserve">а</w:t>
            </w:r>
            <w:r>
              <w:rPr>
                <w:sz w:val="18"/>
                <w:szCs w:val="18"/>
              </w:rPr>
              <w:t xml:space="preserve">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</w:t>
            </w:r>
            <w:r>
              <w:rPr>
                <w:sz w:val="18"/>
                <w:szCs w:val="18"/>
              </w:rPr>
              <w:t xml:space="preserve">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главным внештатным специалистом Министерства здравоохранения Российской Федерации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29.03.2029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 органом исполнительной власти в сфере охраны здоровья отражена информация </w:t>
            </w:r>
            <w:r>
              <w:rPr>
                <w:sz w:val="18"/>
                <w:szCs w:val="18"/>
              </w:rPr>
              <w:br/>
              <w:t xml:space="preserve">о количестве медицинских организаций, оказывающих медицинскую помощь пациентам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их оснащенности, 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для оценки функционирования службы. Обоснована необходимость дооснащения медицинских 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актуализированный </w:t>
            </w:r>
            <w:r>
              <w:rPr>
                <w:sz w:val="18"/>
                <w:szCs w:val="18"/>
              </w:rPr>
              <w:br/>
              <w:t xml:space="preserve">на основании предложений главных внештатных специалистов Министерства здравоохранения Российской Федерации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r>
              <w:rPr>
                <w:sz w:val="18"/>
                <w:szCs w:val="18"/>
              </w:rPr>
              <w:br/>
              <w:t xml:space="preserve">«Об утверждении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«Размещен на официальном сайте </w:t>
            </w:r>
            <w:r>
              <w:rPr>
                <w:sz w:val="18"/>
                <w:szCs w:val="18"/>
              </w:rPr>
              <w:t xml:space="preserve">министерства здравоохранения Белгородской области утвержденный нормативный правовой акт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11.05.2029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</w:t>
            </w:r>
            <w:r>
              <w:rPr>
                <w:sz w:val="18"/>
                <w:szCs w:val="18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на сайте министерства </w:t>
            </w:r>
            <w:r>
              <w:rPr>
                <w:sz w:val="18"/>
                <w:szCs w:val="18"/>
              </w:rPr>
              <w:t xml:space="preserve">здравоохранения Белгородской области актуализированного приказа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04.07.2029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</w:t>
            </w:r>
            <w:r>
              <w:rPr>
                <w:sz w:val="18"/>
                <w:szCs w:val="18"/>
              </w:rPr>
              <w:t xml:space="preserve">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Белгородской области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на основании анализа за предыдущий период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1.2.5.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</w:t>
            </w:r>
            <w:r>
              <w:rPr>
                <w:sz w:val="18"/>
                <w:szCs w:val="18"/>
              </w:rPr>
              <w:t xml:space="preserve">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</w:t>
            </w:r>
            <w:r>
              <w:rPr>
                <w:sz w:val="18"/>
                <w:szCs w:val="18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</w:t>
            </w:r>
            <w:r>
              <w:rPr>
                <w:sz w:val="18"/>
                <w:szCs w:val="18"/>
              </w:rPr>
              <w:t xml:space="preserve">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</w:t>
            </w:r>
            <w:r>
              <w:rPr>
                <w:sz w:val="18"/>
                <w:szCs w:val="18"/>
              </w:rPr>
              <w:t xml:space="preserve">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</w:t>
            </w:r>
            <w:r>
              <w:rPr>
                <w:sz w:val="18"/>
                <w:szCs w:val="18"/>
              </w:rPr>
              <w:t xml:space="preserve">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</w:t>
            </w:r>
            <w:r>
              <w:rPr>
                <w:sz w:val="18"/>
                <w:szCs w:val="18"/>
              </w:rPr>
              <w:br/>
              <w:t xml:space="preserve">«В субъектах Российской Федерации 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 в 2030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о достижении результата «Организована маршрутизация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на основании порядка оказания медицинской помощи с учетом клинических рекомендаций </w:t>
            </w:r>
            <w:r>
              <w:rPr>
                <w:sz w:val="18"/>
                <w:szCs w:val="18"/>
              </w:rPr>
              <w:br/>
              <w:t xml:space="preserve">и обеспечения территориальной доступности медицинской помощи».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Разработан, утвержден и актуализирован порядок </w:t>
            </w:r>
            <w:r>
              <w:rPr>
                <w:sz w:val="18"/>
                <w:szCs w:val="18"/>
              </w:rPr>
              <w:t xml:space="preserve">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в том числе проживающих на сельских территориях. Субъектом Российской Федерации </w:t>
            </w:r>
            <w:r>
              <w:rPr>
                <w:sz w:val="18"/>
                <w:szCs w:val="18"/>
              </w:rPr>
              <w:br/>
              <w:t xml:space="preserve">на постоянной основе совершенствуется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на всех этапах оказания медицинской помощи: с момента выявления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 </w:t>
            </w:r>
            <w:r>
              <w:rPr>
                <w:sz w:val="18"/>
                <w:szCs w:val="18"/>
              </w:rPr>
              <w:br/>
              <w:t xml:space="preserve">до момента снятия </w:t>
            </w:r>
            <w:r>
              <w:rPr>
                <w:sz w:val="18"/>
                <w:szCs w:val="18"/>
              </w:rPr>
              <w:br/>
              <w:t xml:space="preserve">с диспансерного наблюдения. Установленная схема маршрутизации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включает медицинские организации, оказывающие первичную специализированную медико-санитарную помощь </w:t>
            </w:r>
            <w:r>
              <w:rPr>
                <w:sz w:val="18"/>
                <w:szCs w:val="18"/>
              </w:rPr>
              <w:br/>
              <w:t xml:space="preserve">в амбулаторных условиях и условиях дневного стационара, специализированную, </w:t>
            </w:r>
            <w:r>
              <w:rPr>
                <w:sz w:val="18"/>
                <w:szCs w:val="18"/>
              </w:rPr>
              <w:br/>
              <w:t xml:space="preserve">в том числе </w:t>
            </w:r>
            <w:r>
              <w:rPr>
                <w:sz w:val="18"/>
                <w:szCs w:val="18"/>
              </w:rPr>
              <w:t xml:space="preserve">высокотехнологичную, медицинскую помощь в условиях дневного стационара </w:t>
            </w:r>
            <w:r>
              <w:rPr>
                <w:sz w:val="18"/>
                <w:szCs w:val="18"/>
              </w:rPr>
              <w:br/>
              <w:t xml:space="preserve">и в стационарных условиях, а также медицинскую реабилитацию </w:t>
            </w:r>
            <w:r>
              <w:rPr>
                <w:sz w:val="18"/>
                <w:szCs w:val="18"/>
              </w:rPr>
              <w:br/>
              <w:t xml:space="preserve">и паллиативную медицинскую помощь. Порядок маршрутизации включает перечень заболеваний, </w:t>
            </w:r>
            <w:r>
              <w:rPr>
                <w:sz w:val="18"/>
                <w:szCs w:val="18"/>
              </w:rPr>
              <w:br/>
              <w:t xml:space="preserve">при которых </w:t>
            </w:r>
            <w:r>
              <w:rPr>
                <w:sz w:val="18"/>
                <w:szCs w:val="18"/>
              </w:rPr>
              <w:br/>
              <w:t xml:space="preserve">в обязательном порядке проводятся консультации </w:t>
            </w:r>
            <w:r>
              <w:rPr>
                <w:sz w:val="18"/>
                <w:szCs w:val="18"/>
              </w:rPr>
              <w:br/>
              <w:t xml:space="preserve">с применением телемедицинских технологий как между медицинскими организациями субъекта, в том числе расположенными </w:t>
            </w:r>
            <w:r>
              <w:rPr>
                <w:sz w:val="18"/>
                <w:szCs w:val="18"/>
              </w:rPr>
              <w:br/>
              <w:t xml:space="preserve">в сельской местности, так и с федеральными медицинскими организациями. Порядок маршрутизации обеспечил соблюдение сроков проведения консультаций врачей-специалистов в случае подозрения </w:t>
            </w:r>
            <w:r>
              <w:rPr>
                <w:sz w:val="18"/>
                <w:szCs w:val="18"/>
              </w:rPr>
              <w:br/>
              <w:t xml:space="preserve">на онкологическое заболевание, сроков проведения диагностических инструментальных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лабораторных исследований в случае подозрения 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онкологическое заболевание, сроков установления диспансерного наблюдения врача-онколога за пациентом с выявленным онкологическим заболеванием, а также сроков ожидания пациентами начала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момента гистологической верификации опухоли или со дня установления предварительного диагноза заболевания, установленных Программой государственных гарантий бесплатного оказания гражданам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«Согласован </w:t>
            </w:r>
            <w:r>
              <w:rPr>
                <w:sz w:val="18"/>
                <w:szCs w:val="18"/>
              </w:rPr>
              <w:br/>
              <w:t xml:space="preserve">с главными внештатными специалистами Министерства здравоохранения Российской Федерации проект порядка маршрутизации пациентов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rFonts w:ascii="Times New Roman" w:hAnsi="Times New Roman" w:eastAsia="Times New Roman" w:cs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Прочий тип документа.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Согласование проекта порядка маршрутизации пациентов с подозрением на онкологические заболевания и пациентов с онкологическими заболеваниями от </w:t>
            </w: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 xml:space="preserve">момента выявления подозрения заболевания до момента прекращения диспансерного наблюдения Главным внештатными специалистом Министерства здравоохранения Российской Федерации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«Актуализирован паспорт онкологической службы региона»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в АСММС паспорта онкологической службы региона. </w:t>
            </w:r>
            <w:r>
              <w:rPr>
                <w:sz w:val="18"/>
                <w:szCs w:val="18"/>
              </w:rPr>
              <w:br/>
              <w:t xml:space="preserve">В паспорте региональным органом исполнительной власти в сфере охраны здоровья отражена информация </w:t>
            </w:r>
            <w:r>
              <w:rPr>
                <w:sz w:val="18"/>
                <w:szCs w:val="18"/>
              </w:rPr>
              <w:br/>
              <w:t xml:space="preserve">о количестве медицинских организаций, оказывающих медицинскую помощь пациентам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заболеваниями, их оснащенности, обеспеченности кадрами и прочая информация, необходимая </w:t>
            </w:r>
            <w:r>
              <w:rPr>
                <w:sz w:val="18"/>
                <w:szCs w:val="18"/>
              </w:rPr>
              <w:br/>
              <w:t xml:space="preserve">для оценки функционирования службы. Обоснована необходимость </w:t>
            </w:r>
            <w:r>
              <w:rPr>
                <w:sz w:val="18"/>
                <w:szCs w:val="18"/>
              </w:rPr>
              <w:t xml:space="preserve">дооснащения медицинских организаций </w:t>
            </w:r>
            <w:r>
              <w:rPr>
                <w:sz w:val="18"/>
                <w:szCs w:val="18"/>
              </w:rPr>
              <w:br/>
              <w:t xml:space="preserve">и обеспеченность медицинскими кадрами, согласно порядкам оказания медицинской помощи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«Утвержден актуализированный </w:t>
            </w:r>
            <w:r>
              <w:rPr>
                <w:sz w:val="18"/>
                <w:szCs w:val="18"/>
              </w:rPr>
              <w:br/>
              <w:t xml:space="preserve">на основании предложений главных внештатных специалистов Министерства здравоохранения Российской Федерации порядок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r>
              <w:rPr>
                <w:sz w:val="18"/>
                <w:szCs w:val="18"/>
              </w:rPr>
              <w:br/>
              <w:t xml:space="preserve">«Об утверждении Порядка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«Размещен на официальном сайте министерства здравоохранения Белгородской области утвержденный </w:t>
            </w:r>
            <w:r>
              <w:rPr>
                <w:sz w:val="18"/>
                <w:szCs w:val="18"/>
              </w:rPr>
              <w:t xml:space="preserve">нормативный правовой акт о порядке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14.05.2030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</w:t>
            </w:r>
            <w:r>
              <w:rPr>
                <w:sz w:val="18"/>
                <w:szCs w:val="18"/>
              </w:rPr>
              <w:t xml:space="preserve">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</w:t>
            </w:r>
            <w:r/>
          </w:p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Скриншот размещения на сайте министерства здравоохранения Белгородской области актуализированного приказа о порядке </w:t>
            </w:r>
            <w:r>
              <w:rPr>
                <w:sz w:val="18"/>
                <w:szCs w:val="18"/>
              </w:rPr>
              <w:t xml:space="preserve">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за 1 полугодие отчетного года»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04.07.2030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1 полугодие </w:t>
            </w:r>
            <w:r>
              <w:rPr>
                <w:sz w:val="18"/>
                <w:szCs w:val="18"/>
              </w:rPr>
              <w:t xml:space="preserve">отчетного года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Белгородской области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29.11.2030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Шаманов Андрей Валерьевич, главный внештатный специалист-онколог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для формирования предложений главных внештатных специалистов Министерства здравоохранения Российской Федерации по повышению эффективности реализации мероприятия </w:t>
            </w:r>
            <w:r>
              <w:rPr>
                <w:sz w:val="18"/>
                <w:szCs w:val="18"/>
              </w:rPr>
              <w:br/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на основании анализа </w:t>
            </w:r>
            <w:r>
              <w:rPr>
                <w:sz w:val="18"/>
                <w:szCs w:val="18"/>
              </w:rPr>
              <w:br/>
              <w:t xml:space="preserve">за предыдущий период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1.2.6. К.7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Контрольная точка «Сформирован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по совершенствованию 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в субъектах </w:t>
            </w:r>
            <w:r>
              <w:rPr>
                <w:sz w:val="18"/>
                <w:szCs w:val="18"/>
              </w:rPr>
              <w:br/>
              <w:t xml:space="preserve">за отчетный год»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документа. Аналитический отчет </w:t>
            </w:r>
            <w:r>
              <w:rPr>
                <w:sz w:val="18"/>
                <w:szCs w:val="18"/>
              </w:rPr>
              <w:br/>
              <w:t xml:space="preserve">с учетом организационно-методической поддержки НМИЦ Минздрава России </w:t>
            </w:r>
            <w:r>
              <w:rPr>
                <w:sz w:val="18"/>
                <w:szCs w:val="18"/>
              </w:rPr>
              <w:br/>
              <w:t xml:space="preserve">по совершенствованию </w:t>
            </w:r>
            <w:r>
              <w:rPr>
                <w:sz w:val="18"/>
                <w:szCs w:val="18"/>
              </w:rPr>
              <w:t xml:space="preserve">маршрутизации пациентов </w:t>
            </w:r>
            <w:r>
              <w:rPr>
                <w:sz w:val="18"/>
                <w:szCs w:val="18"/>
              </w:rPr>
              <w:br/>
              <w:t xml:space="preserve">с подозрением </w:t>
            </w:r>
            <w:r>
              <w:rPr>
                <w:sz w:val="18"/>
                <w:szCs w:val="18"/>
              </w:rPr>
              <w:br/>
              <w:t xml:space="preserve">на онкологические заболевания </w:t>
            </w:r>
            <w:r>
              <w:rPr>
                <w:sz w:val="18"/>
                <w:szCs w:val="18"/>
              </w:rPr>
              <w:br/>
              <w:t xml:space="preserve">и пациентов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 </w:t>
            </w:r>
            <w:r>
              <w:rPr>
                <w:sz w:val="18"/>
                <w:szCs w:val="18"/>
              </w:rPr>
              <w:br/>
              <w:t xml:space="preserve">от момента выявления подозрения заболевания </w:t>
            </w:r>
            <w:r>
              <w:rPr>
                <w:sz w:val="18"/>
                <w:szCs w:val="18"/>
              </w:rPr>
              <w:br/>
              <w:t xml:space="preserve">до момента прекращения диспансерного наблюдения </w:t>
            </w:r>
            <w:r>
              <w:rPr>
                <w:sz w:val="18"/>
                <w:szCs w:val="18"/>
              </w:rPr>
              <w:br/>
              <w:t xml:space="preserve">за отчетный год</w:t>
            </w:r>
            <w:r/>
          </w:p>
        </w:tc>
      </w:tr>
      <w:tr>
        <w:trPr>
          <w:jc w:val="center"/>
          <w:trHeight w:val="189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Мероприятие (результат) «Мониторинг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</w:t>
            </w:r>
            <w:r>
              <w:rPr>
                <w:sz w:val="18"/>
                <w:szCs w:val="18"/>
              </w:rPr>
              <w:t xml:space="preserve"> заболеваниями»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01.01.2025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31.12.2025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Результат создан </w:t>
            </w:r>
            <w:r>
              <w:rPr>
                <w:sz w:val="18"/>
                <w:szCs w:val="18"/>
              </w:rPr>
              <w:br/>
              <w:t xml:space="preserve">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27.06.2025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10.07.2025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11.08.2025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</w:t>
            </w:r>
            <w:r>
              <w:rPr>
                <w:spacing w:val="-2"/>
                <w:sz w:val="18"/>
                <w:szCs w:val="18"/>
              </w:rPr>
              <w:t xml:space="preserve">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10.09.2025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</w:t>
            </w:r>
            <w:r>
              <w:rPr>
                <w:sz w:val="18"/>
                <w:szCs w:val="18"/>
              </w:rPr>
              <w:t xml:space="preserve">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10.10.2025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10.11.2025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</w:t>
            </w:r>
            <w:r>
              <w:rPr>
                <w:sz w:val="18"/>
                <w:szCs w:val="18"/>
              </w:rPr>
              <w:t xml:space="preserve">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</w:t>
            </w:r>
            <w:r>
              <w:rPr>
                <w:sz w:val="18"/>
                <w:szCs w:val="18"/>
              </w:rPr>
              <w:t xml:space="preserve">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1.3.К.7.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Контрольная точка «Проведен мониторинг исполнения результата»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10.12.2025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Результат создан с целью мониторинга достижения показателей Федерального проекта «Борьба </w:t>
            </w:r>
            <w:r>
              <w:rPr>
                <w:sz w:val="18"/>
                <w:szCs w:val="18"/>
              </w:rPr>
              <w:br/>
              <w:t xml:space="preserve">с онкологическими заболеваниями»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Мероприятие (результат) «Модернизированы, дооснащены </w:t>
            </w:r>
            <w:r>
              <w:rPr>
                <w:spacing w:val="-2"/>
                <w:sz w:val="18"/>
                <w:szCs w:val="18"/>
              </w:rPr>
              <w:br/>
              <w:t xml:space="preserve">или переоснащены медицинским оборудованием существующие </w:t>
            </w:r>
            <w:r>
              <w:rPr>
                <w:spacing w:val="-2"/>
                <w:sz w:val="18"/>
                <w:szCs w:val="18"/>
              </w:rPr>
              <w:br/>
              <w:t xml:space="preserve">и/или новые (организуемые) структурные </w:t>
            </w:r>
            <w:r>
              <w:rPr>
                <w:spacing w:val="-2"/>
                <w:sz w:val="18"/>
                <w:szCs w:val="18"/>
              </w:rPr>
              <w:t xml:space="preserve">подразделения региональных медицинских организаций, оказывающих медицинскую помощь </w:t>
            </w:r>
            <w:r>
              <w:rPr>
                <w:spacing w:val="-2"/>
                <w:sz w:val="18"/>
                <w:szCs w:val="18"/>
              </w:rPr>
              <w:br/>
              <w:t xml:space="preserve">с применением радиологических методов (диагностики и/или терапии)»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период </w:t>
            </w:r>
            <w:r>
              <w:rPr>
                <w:sz w:val="18"/>
                <w:szCs w:val="18"/>
              </w:rPr>
              <w:br/>
              <w:t xml:space="preserve">2029 – 2030 годов модернизированы, дооснащены </w:t>
            </w:r>
            <w:r>
              <w:rPr>
                <w:sz w:val="18"/>
                <w:szCs w:val="18"/>
              </w:rPr>
              <w:br/>
              <w:t xml:space="preserve">или переоснащены современным медицинским </w:t>
            </w:r>
            <w:r>
              <w:rPr>
                <w:sz w:val="18"/>
                <w:szCs w:val="18"/>
              </w:rPr>
              <w:br/>
              <w:t xml:space="preserve">и/или иным оборудованием существующие </w:t>
            </w:r>
            <w:r>
              <w:rPr>
                <w:sz w:val="18"/>
                <w:szCs w:val="18"/>
              </w:rPr>
              <w:br/>
              <w:t xml:space="preserve">и/или новые </w:t>
            </w:r>
            <w:r>
              <w:rPr>
                <w:sz w:val="18"/>
                <w:szCs w:val="18"/>
              </w:rPr>
              <w:t xml:space="preserve">(органи</w:t>
            </w:r>
            <w:r>
              <w:rPr>
                <w:sz w:val="18"/>
                <w:szCs w:val="18"/>
              </w:rPr>
              <w:t xml:space="preserve">зуемые) структурные подразделения региональных медицинских организаций, оказывающих медицинскую помощь с применением радиологических методов, необходимых для проведения диагностики (однофотонная эмиссионная компьютерная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позитронная эмиссионная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</w:t>
            </w:r>
            <w:r>
              <w:rPr>
                <w:sz w:val="18"/>
                <w:szCs w:val="18"/>
              </w:rPr>
              <w:t xml:space="preserve">сцинтиграфия</w:t>
            </w:r>
            <w:r>
              <w:rPr>
                <w:sz w:val="18"/>
                <w:szCs w:val="18"/>
              </w:rPr>
              <w:t xml:space="preserve"> и пр.), </w:t>
            </w:r>
            <w:r>
              <w:rPr>
                <w:sz w:val="18"/>
                <w:szCs w:val="18"/>
              </w:rPr>
              <w:br/>
              <w:t xml:space="preserve">и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</w:t>
            </w:r>
            <w:r>
              <w:rPr>
                <w:sz w:val="18"/>
                <w:szCs w:val="18"/>
              </w:rPr>
              <w:t xml:space="preserve">радиофармпрепаратов</w:t>
            </w:r>
            <w:r>
              <w:rPr>
                <w:sz w:val="18"/>
                <w:szCs w:val="18"/>
              </w:rPr>
              <w:t xml:space="preserve">. Данные технологии используются </w:t>
            </w:r>
            <w:r>
              <w:rPr>
                <w:sz w:val="18"/>
                <w:szCs w:val="18"/>
              </w:rPr>
              <w:br/>
              <w:t xml:space="preserve">для диагностики </w:t>
            </w:r>
            <w:r>
              <w:rPr>
                <w:sz w:val="18"/>
                <w:szCs w:val="18"/>
              </w:rPr>
              <w:br/>
              <w:t xml:space="preserve">и лечения пациентов </w:t>
            </w:r>
            <w:r>
              <w:rPr>
                <w:sz w:val="18"/>
                <w:szCs w:val="18"/>
              </w:rPr>
              <w:br/>
              <w:t xml:space="preserve">с сердечно-сосудистыми, онкологическими, эндокринологическими и неврологическими </w:t>
            </w:r>
            <w:r>
              <w:rPr>
                <w:sz w:val="18"/>
                <w:szCs w:val="18"/>
              </w:rPr>
              <w:t xml:space="preserve">заболеваниями. Материально-техническая база структурных подразделений региональных медицинских организаций приведена в соответствие </w:t>
            </w:r>
            <w:r>
              <w:rPr>
                <w:sz w:val="18"/>
                <w:szCs w:val="18"/>
              </w:rPr>
              <w:br/>
              <w:t xml:space="preserve">с современными требованиями </w:t>
            </w:r>
            <w:r>
              <w:rPr>
                <w:sz w:val="18"/>
                <w:szCs w:val="18"/>
              </w:rPr>
              <w:br/>
              <w:t xml:space="preserve">к организации оказания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радиологических методов, что позволит повысить доступность и качество проведения диагностики, оказания специализированной,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высокотехнологичной, медицинской помощи на более высоком качественном уровне </w:t>
            </w:r>
            <w:r>
              <w:rPr>
                <w:sz w:val="18"/>
                <w:szCs w:val="18"/>
              </w:rPr>
              <w:br/>
              <w:t xml:space="preserve">и обеспечит оказание медицинской помощи 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</w:t>
            </w:r>
            <w:r>
              <w:rPr>
                <w:sz w:val="18"/>
                <w:szCs w:val="18"/>
              </w:rPr>
              <w:br/>
              <w:t xml:space="preserve">а также обеспечить развитие методов </w:t>
            </w:r>
            <w:r>
              <w:rPr>
                <w:sz w:val="18"/>
                <w:szCs w:val="18"/>
              </w:rPr>
              <w:t xml:space="preserve">тераностики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1.4.1.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Мероприятие (результат) «Модернизированы, дооснащены </w:t>
            </w:r>
            <w:r>
              <w:rPr>
                <w:spacing w:val="-2"/>
                <w:sz w:val="18"/>
                <w:szCs w:val="18"/>
              </w:rPr>
              <w:br/>
              <w:t xml:space="preserve">или переоснащены медицинским оборудованием </w:t>
            </w:r>
            <w:r>
              <w:rPr>
                <w:spacing w:val="-2"/>
                <w:sz w:val="18"/>
                <w:szCs w:val="18"/>
              </w:rPr>
              <w:t xml:space="preserve">существующие </w:t>
            </w:r>
            <w:r>
              <w:rPr>
                <w:spacing w:val="-2"/>
                <w:sz w:val="18"/>
                <w:szCs w:val="18"/>
              </w:rPr>
              <w:br/>
              <w:t xml:space="preserve">и/или новые (организуемые) структурные подразделения региональных медицинских организаций, оказывающих медицинскую помощь </w:t>
            </w:r>
            <w:r>
              <w:rPr>
                <w:spacing w:val="-2"/>
                <w:sz w:val="18"/>
                <w:szCs w:val="18"/>
              </w:rPr>
              <w:br/>
              <w:t xml:space="preserve">с применением радиологических методов (диагностики и/или терапии)» </w:t>
            </w:r>
            <w:r>
              <w:rPr>
                <w:spacing w:val="-2"/>
                <w:sz w:val="18"/>
                <w:szCs w:val="18"/>
              </w:rPr>
              <w:br/>
              <w:t xml:space="preserve">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01.01.2029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31.12.2029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Крылова Людмила Степановна, первый заместитель министра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период </w:t>
            </w:r>
            <w:r>
              <w:rPr>
                <w:sz w:val="18"/>
                <w:szCs w:val="18"/>
              </w:rPr>
              <w:br/>
              <w:t xml:space="preserve">2029 – 2030 годов модернизированы, дооснащены </w:t>
            </w:r>
            <w:r>
              <w:rPr>
                <w:sz w:val="18"/>
                <w:szCs w:val="18"/>
              </w:rPr>
              <w:br/>
              <w:t xml:space="preserve">или переоснащены современным медицинским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и/или иным оборудованием существующие </w:t>
            </w:r>
            <w:r>
              <w:rPr>
                <w:sz w:val="18"/>
                <w:szCs w:val="18"/>
              </w:rPr>
              <w:br/>
              <w:t xml:space="preserve">и/или новые (органи</w:t>
            </w:r>
            <w:r>
              <w:rPr>
                <w:sz w:val="18"/>
                <w:szCs w:val="18"/>
              </w:rPr>
              <w:t xml:space="preserve">зуемые) структурные подразделения региональных медицинских организаций, оказывающих медицинскую помощь с применением радиологических методов, необходимых для проведения диагностики (однофотонная эмиссионная компьютерная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позитронная эмиссионная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</w:t>
            </w:r>
            <w:r>
              <w:rPr>
                <w:sz w:val="18"/>
                <w:szCs w:val="18"/>
              </w:rPr>
              <w:t xml:space="preserve">сцинтиграфия</w:t>
            </w:r>
            <w:r>
              <w:rPr>
                <w:sz w:val="18"/>
                <w:szCs w:val="18"/>
              </w:rPr>
              <w:t xml:space="preserve"> и пр.), </w:t>
            </w:r>
            <w:r>
              <w:rPr>
                <w:sz w:val="18"/>
                <w:szCs w:val="18"/>
              </w:rPr>
              <w:br/>
              <w:t xml:space="preserve">и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</w:t>
            </w:r>
            <w:r>
              <w:rPr>
                <w:sz w:val="18"/>
                <w:szCs w:val="18"/>
              </w:rPr>
              <w:t xml:space="preserve">радиофармпрепаратов</w:t>
            </w:r>
            <w:r>
              <w:rPr>
                <w:sz w:val="18"/>
                <w:szCs w:val="18"/>
              </w:rPr>
              <w:t xml:space="preserve">. Данные технологии используются </w:t>
            </w:r>
            <w:r>
              <w:rPr>
                <w:sz w:val="18"/>
                <w:szCs w:val="18"/>
              </w:rPr>
              <w:br/>
              <w:t xml:space="preserve">для диагностики </w:t>
            </w:r>
            <w:r>
              <w:rPr>
                <w:sz w:val="18"/>
                <w:szCs w:val="18"/>
              </w:rPr>
              <w:br/>
              <w:t xml:space="preserve">и лечения пациентов </w:t>
            </w:r>
            <w:r>
              <w:rPr>
                <w:sz w:val="18"/>
                <w:szCs w:val="18"/>
              </w:rPr>
              <w:br/>
              <w:t xml:space="preserve">с сердечно-</w:t>
            </w:r>
            <w:r>
              <w:rPr>
                <w:sz w:val="18"/>
                <w:szCs w:val="18"/>
              </w:rPr>
              <w:t xml:space="preserve">сосудистыми, онкологическими, эндокринологическими и неврологическими заболеваниями. Материально-техническая база структурных подразделений региональных медицинских организаций приведена в соответствие </w:t>
            </w:r>
            <w:r>
              <w:rPr>
                <w:sz w:val="18"/>
                <w:szCs w:val="18"/>
              </w:rPr>
              <w:br/>
              <w:t xml:space="preserve">с современными требованиями </w:t>
            </w:r>
            <w:r>
              <w:rPr>
                <w:sz w:val="18"/>
                <w:szCs w:val="18"/>
              </w:rPr>
              <w:br/>
              <w:t xml:space="preserve">к организации оказания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радиологических методов, что позволит повысить доступность и качество проведения диагностики, оказания специализированной,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высокотехнологичной, медицинской помощи на более высоком качественном уровне </w:t>
            </w:r>
            <w:r>
              <w:rPr>
                <w:sz w:val="18"/>
                <w:szCs w:val="18"/>
              </w:rPr>
              <w:br/>
              <w:t xml:space="preserve">и обеспечит оказание медицинской помощи 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</w:t>
            </w:r>
            <w:r>
              <w:rPr>
                <w:sz w:val="18"/>
                <w:szCs w:val="18"/>
              </w:rPr>
              <w:br/>
              <w:t xml:space="preserve">а также обеспечить развитие методов </w:t>
            </w:r>
            <w:r>
              <w:rPr>
                <w:sz w:val="18"/>
                <w:szCs w:val="18"/>
              </w:rPr>
              <w:t xml:space="preserve">тераностики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08.01.2029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</w:t>
            </w:r>
            <w:r>
              <w:rPr>
                <w:sz w:val="18"/>
                <w:szCs w:val="18"/>
              </w:rPr>
              <w:t xml:space="preserve">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07.03.2029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07.06.2029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</w:t>
            </w:r>
            <w:r>
              <w:rPr>
                <w:sz w:val="18"/>
                <w:szCs w:val="18"/>
              </w:rPr>
              <w:t xml:space="preserve">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07.09.2029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07.12.2029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</w:t>
            </w:r>
            <w:r>
              <w:rPr>
                <w:sz w:val="18"/>
                <w:szCs w:val="18"/>
              </w:rPr>
              <w:t xml:space="preserve">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1.4.1.К.6.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27.12.2029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1.4.2.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pStyle w:val="860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Мероприятие (результат) «Модернизированы, дооснащены </w:t>
            </w:r>
            <w:r>
              <w:rPr>
                <w:spacing w:val="-2"/>
                <w:sz w:val="18"/>
                <w:szCs w:val="18"/>
              </w:rPr>
              <w:br/>
              <w:t xml:space="preserve">или переоснащены медицинским оборудованием существующие </w:t>
            </w:r>
            <w:r>
              <w:rPr>
                <w:spacing w:val="-2"/>
                <w:sz w:val="18"/>
                <w:szCs w:val="18"/>
              </w:rPr>
              <w:br/>
              <w:t xml:space="preserve">и/или новые (организуемые) структурные подразделения региональных медицинских организаций, оказывающих медицинскую помощь </w:t>
            </w:r>
            <w:r>
              <w:rPr>
                <w:spacing w:val="-2"/>
                <w:sz w:val="18"/>
                <w:szCs w:val="18"/>
              </w:rPr>
              <w:br/>
              <w:t xml:space="preserve">с применением </w:t>
            </w:r>
            <w:r>
              <w:rPr>
                <w:spacing w:val="-2"/>
                <w:sz w:val="18"/>
                <w:szCs w:val="18"/>
              </w:rPr>
              <w:t xml:space="preserve">радиологических методов (диагностики и/или терапии)» </w:t>
            </w:r>
            <w:r>
              <w:rPr>
                <w:spacing w:val="-2"/>
                <w:sz w:val="18"/>
                <w:szCs w:val="18"/>
              </w:rPr>
              <w:br/>
              <w:t xml:space="preserve">в 2029 году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01.01.2030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31.12.2030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период </w:t>
            </w:r>
            <w:r>
              <w:rPr>
                <w:sz w:val="18"/>
                <w:szCs w:val="18"/>
              </w:rPr>
              <w:br/>
              <w:t xml:space="preserve">2029 – 2030 годов модернизированы, дооснащены </w:t>
            </w:r>
            <w:r>
              <w:rPr>
                <w:sz w:val="18"/>
                <w:szCs w:val="18"/>
              </w:rPr>
              <w:br/>
              <w:t xml:space="preserve">или переоснащены современным медицинским </w:t>
            </w:r>
            <w:r>
              <w:rPr>
                <w:sz w:val="18"/>
                <w:szCs w:val="18"/>
              </w:rPr>
              <w:br/>
              <w:t xml:space="preserve">и/или иным оборудованием существующие </w:t>
            </w:r>
            <w:r>
              <w:rPr>
                <w:sz w:val="18"/>
                <w:szCs w:val="18"/>
              </w:rPr>
              <w:br/>
              <w:t xml:space="preserve">и/или новые (организуемые) структурные подразделения региональных медицинских организаций, оказывающих </w:t>
            </w:r>
            <w:r>
              <w:rPr>
                <w:sz w:val="18"/>
                <w:szCs w:val="18"/>
              </w:rPr>
              <w:t xml:space="preserve">медицинскую помощь с применением радиологических методов, необходимых для проведения диагностики (однофотонная эмиссионная компьютерная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позитронная эмиссионная томография, в том числе совмещенная </w:t>
            </w:r>
            <w:r>
              <w:rPr>
                <w:sz w:val="18"/>
                <w:szCs w:val="18"/>
              </w:rPr>
              <w:br/>
              <w:t xml:space="preserve">с компьютерной томографией, </w:t>
            </w:r>
            <w:r>
              <w:rPr>
                <w:sz w:val="18"/>
                <w:szCs w:val="18"/>
              </w:rPr>
              <w:t xml:space="preserve">сцинтиграфия</w:t>
            </w:r>
            <w:r>
              <w:rPr>
                <w:sz w:val="18"/>
                <w:szCs w:val="18"/>
              </w:rPr>
              <w:t xml:space="preserve"> и пр.), </w:t>
            </w:r>
            <w:r>
              <w:rPr>
                <w:sz w:val="18"/>
                <w:szCs w:val="18"/>
              </w:rPr>
              <w:br/>
              <w:t xml:space="preserve">и оказания специализированной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</w:t>
            </w:r>
            <w:r>
              <w:rPr>
                <w:sz w:val="18"/>
                <w:szCs w:val="18"/>
              </w:rPr>
              <w:t xml:space="preserve">радиофармпрепаратов</w:t>
            </w:r>
            <w:r>
              <w:rPr>
                <w:sz w:val="18"/>
                <w:szCs w:val="18"/>
              </w:rPr>
              <w:t xml:space="preserve">. Данные технологии используются </w:t>
            </w:r>
            <w:r>
              <w:rPr>
                <w:sz w:val="18"/>
                <w:szCs w:val="18"/>
              </w:rPr>
              <w:br/>
              <w:t xml:space="preserve">для диагностики </w:t>
            </w:r>
            <w:r>
              <w:rPr>
                <w:sz w:val="18"/>
                <w:szCs w:val="18"/>
              </w:rPr>
              <w:br/>
              <w:t xml:space="preserve">и лечения пациентов </w:t>
            </w:r>
            <w:r>
              <w:rPr>
                <w:sz w:val="18"/>
                <w:szCs w:val="18"/>
              </w:rPr>
              <w:br/>
              <w:t xml:space="preserve">с сердечно-сосудистыми, онкологическими, эндокринологическими и неврологическими заболеваниями. Материально-техническая база структурных подразделений региональных медицинских </w:t>
            </w:r>
            <w:r>
              <w:rPr>
                <w:sz w:val="18"/>
                <w:szCs w:val="18"/>
              </w:rPr>
              <w:t xml:space="preserve">организаций приведена в соответствие </w:t>
            </w:r>
            <w:r>
              <w:rPr>
                <w:sz w:val="18"/>
                <w:szCs w:val="18"/>
              </w:rPr>
              <w:br/>
              <w:t xml:space="preserve">с современными требованиями </w:t>
            </w:r>
            <w:r>
              <w:rPr>
                <w:sz w:val="18"/>
                <w:szCs w:val="18"/>
              </w:rPr>
              <w:br/>
              <w:t xml:space="preserve">к организации оказания медицинской помощи </w:t>
            </w:r>
            <w:r>
              <w:rPr>
                <w:sz w:val="18"/>
                <w:szCs w:val="18"/>
              </w:rPr>
              <w:br/>
              <w:t xml:space="preserve">с применением радиологических методов, что позволит повысить доступность и качество проведения диагностики, оказания специализированной, </w:t>
            </w:r>
            <w:r>
              <w:rPr>
                <w:sz w:val="18"/>
                <w:szCs w:val="18"/>
              </w:rPr>
              <w:br/>
              <w:t xml:space="preserve">в том числе высокотехнологичной, медицинской помощи на более высоком качественном уровне </w:t>
            </w:r>
            <w:r>
              <w:rPr>
                <w:sz w:val="18"/>
                <w:szCs w:val="18"/>
              </w:rPr>
              <w:br/>
              <w:t xml:space="preserve">и обеспечит оказание медицинской помощи в соответствии </w:t>
            </w:r>
            <w:r>
              <w:rPr>
                <w:sz w:val="18"/>
                <w:szCs w:val="18"/>
              </w:rPr>
              <w:br/>
              <w:t xml:space="preserve">с клиническими рекомендациями, </w:t>
            </w:r>
            <w:r>
              <w:rPr>
                <w:sz w:val="18"/>
                <w:szCs w:val="18"/>
              </w:rPr>
              <w:br/>
              <w:t xml:space="preserve">а также обеспечить развитие методов </w:t>
            </w:r>
            <w:r>
              <w:rPr>
                <w:sz w:val="18"/>
                <w:szCs w:val="18"/>
              </w:rPr>
              <w:t xml:space="preserve">тераностики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1.4.2.К.1.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07.01.2030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</w:t>
            </w:r>
            <w:r>
              <w:rPr>
                <w:sz w:val="18"/>
                <w:szCs w:val="18"/>
              </w:rPr>
              <w:t xml:space="preserve">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1.4.2.К.2.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07.03.2030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1.4.2.К.3.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07.06.2030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1.4.2.К.4.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06.09.2030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1.4.2.К.5.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06.12.2030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  <w:tr>
        <w:trPr>
          <w:jc w:val="center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806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1.4.2.К.6.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9" w:type="dxa"/>
            <w:textDirection w:val="lrTb"/>
            <w:noWrap w:val="false"/>
          </w:tcPr>
          <w:p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Контрольная точка «Услуга оказана (работы выполнены)»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-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27.12.2030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83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</w:t>
            </w:r>
            <w:r>
              <w:rPr>
                <w:sz w:val="18"/>
                <w:szCs w:val="18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5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Взаимосвязь </w:t>
            </w:r>
            <w:r>
              <w:rPr>
                <w:sz w:val="18"/>
                <w:szCs w:val="18"/>
              </w:rPr>
              <w:br/>
              <w:t xml:space="preserve">с иными результатами </w:t>
            </w:r>
            <w:r>
              <w:rPr>
                <w:sz w:val="18"/>
                <w:szCs w:val="18"/>
              </w:rPr>
              <w:br/>
              <w:t xml:space="preserve">и контрольными </w:t>
            </w:r>
            <w:r>
              <w:rPr>
                <w:sz w:val="18"/>
                <w:szCs w:val="18"/>
              </w:rPr>
              <w:t xml:space="preserve">точками отсутствует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4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Атаев</w:t>
            </w:r>
            <w:r>
              <w:rPr>
                <w:sz w:val="18"/>
                <w:szCs w:val="18"/>
              </w:rPr>
              <w:t xml:space="preserve"> Овезмырат </w:t>
            </w:r>
            <w:r>
              <w:rPr>
                <w:sz w:val="18"/>
                <w:szCs w:val="18"/>
              </w:rPr>
              <w:t xml:space="preserve">Гурбанмырадович</w:t>
            </w:r>
            <w:r>
              <w:rPr>
                <w:sz w:val="18"/>
                <w:szCs w:val="18"/>
              </w:rPr>
              <w:t xml:space="preserve">, заместитель начальника департамента – </w:t>
            </w:r>
            <w:r>
              <w:rPr>
                <w:sz w:val="18"/>
                <w:szCs w:val="18"/>
              </w:rPr>
              <w:t xml:space="preserve">начальник отдела организации медицинской помощи взрослому населению департамента организации медицинской помощи министерства здравоохранения Белгородской области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9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78" w:type="dxa"/>
            <w:textDirection w:val="lrTb"/>
            <w:noWrap w:val="false"/>
          </w:tcPr>
          <w:p>
            <w:pPr>
              <w:pStyle w:val="8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Прочий тип документа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  <w:bookmarkEnd w:id="0"/>
      <w:r/>
      <w:r/>
    </w:p>
    <w:sectPr>
      <w:headerReference w:type="default" r:id="rId9"/>
      <w:footnotePr/>
      <w:endnotePr/>
      <w:type w:val="nextPage"/>
      <w:pgSz w:w="16838" w:h="11906" w:orient="landscape"/>
      <w:pgMar w:top="1276" w:right="567" w:bottom="567" w:left="567" w:header="737" w:footer="567" w:gutter="0"/>
      <w:pgNumType w:start="12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CYR">
    <w:panose1 w:val="02000603000000000000"/>
  </w:font>
  <w:font w:name="Calibri Light">
    <w:panose1 w:val="020F0502020204030204"/>
  </w:font>
  <w:font w:name="Courier New">
    <w:panose1 w:val="02070309020205020404"/>
  </w:font>
  <w:font w:name="Lohit Devanagari">
    <w:panose1 w:val="02000603000000000000"/>
  </w:font>
  <w:font w:name="Candara">
    <w:panose1 w:val="020F0502020204030204"/>
  </w:font>
  <w:font w:name="Calibri">
    <w:panose1 w:val="020F0502020204030204"/>
  </w:font>
  <w:font w:name="DejaVu Sans">
    <w:panose1 w:val="020B060303080402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41513508"/>
      <w:docPartObj>
        <w:docPartGallery w:val="Page Numbers (Top of Page)"/>
        <w:docPartUnique w:val="true"/>
      </w:docPartObj>
      <w:rPr/>
    </w:sdtPr>
    <w:sdtContent>
      <w:p>
        <w:pPr>
          <w:pStyle w:val="72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33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2280" w:hanging="720"/>
      </w:pPr>
      <w:rPr>
        <w:rFonts w:hint="default" w:eastAsiaTheme="minorEastAsia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6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3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8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5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2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9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80" w:hanging="180"/>
      </w:pPr>
    </w:lvl>
  </w:abstractNum>
  <w:abstractNum w:abstractNumId="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28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styleLink w:val="1145"/>
    <w:lvl w:ilvl="0">
      <w:start w:val="1"/>
      <w:numFmt w:val="decimal"/>
      <w:pStyle w:val="1145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32"/>
      <w:numFmt w:val="upperRoman"/>
      <w:isLgl w:val="false"/>
      <w:suff w:val="tab"/>
      <w:lvlText w:val="%1."/>
      <w:lvlJc w:val="left"/>
      <w:pPr>
        <w:ind w:left="360" w:firstLine="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styleLink w:val="1077"/>
    <w:lvl w:ilvl="0">
      <w:start w:val="1"/>
      <w:numFmt w:val="decimal"/>
      <w:pStyle w:val="1077"/>
      <w:isLgl w:val="false"/>
      <w:suff w:val="tab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isLgl w:val="false"/>
      <w:suff w:val="tab"/>
      <w:lvlText w:val="%1.1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isLgl w:val="false"/>
      <w:suff w:val="tab"/>
      <w:lvlText w:val="%2.1.К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3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styleLink w:val="888"/>
    <w:lvl w:ilvl="0">
      <w:start w:val="1"/>
      <w:numFmt w:val="decimal"/>
      <w:pStyle w:val="888"/>
      <w:isLgl w:val="false"/>
      <w:suff w:val="tab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isLgl w:val="false"/>
      <w:suff w:val="tab"/>
      <w:lvlText w:val="%1.1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isLgl w:val="false"/>
      <w:suff w:val="tab"/>
      <w:lvlText w:val="%2.1.К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styleLink w:val="1179"/>
    <w:lvl w:ilvl="0">
      <w:start w:val="1"/>
      <w:numFmt w:val="decimal"/>
      <w:pStyle w:val="117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33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8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eastAsiaTheme="minorEastAsia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23"/>
  </w:num>
  <w:num w:numId="4">
    <w:abstractNumId w:val="16"/>
  </w:num>
  <w:num w:numId="5">
    <w:abstractNumId w:val="12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1"/>
  </w:num>
  <w:num w:numId="14">
    <w:abstractNumId w:val="0"/>
  </w:num>
  <w:num w:numId="15">
    <w:abstractNumId w:val="17"/>
  </w:num>
  <w:num w:numId="16">
    <w:abstractNumId w:val="11"/>
  </w:num>
  <w:num w:numId="17">
    <w:abstractNumId w:val="13"/>
  </w:num>
  <w:num w:numId="18">
    <w:abstractNumId w:val="3"/>
  </w:num>
  <w:num w:numId="19">
    <w:abstractNumId w:val="8"/>
  </w:num>
  <w:num w:numId="20">
    <w:abstractNumId w:val="1"/>
  </w:num>
  <w:num w:numId="21">
    <w:abstractNumId w:val="19"/>
  </w:num>
  <w:num w:numId="22">
    <w:abstractNumId w:val="7"/>
  </w:num>
  <w:num w:numId="23">
    <w:abstractNumId w:val="24"/>
  </w:num>
  <w:num w:numId="24">
    <w:abstractNumId w:val="28"/>
  </w:num>
  <w:num w:numId="25">
    <w:abstractNumId w:val="5"/>
  </w:num>
  <w:num w:numId="26">
    <w:abstractNumId w:val="10"/>
  </w:num>
  <w:num w:numId="27">
    <w:abstractNumId w:val="22"/>
  </w:num>
  <w:num w:numId="28">
    <w:abstractNumId w:val="26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2" w:default="1">
    <w:name w:val="Normal"/>
    <w:qFormat/>
  </w:style>
  <w:style w:type="paragraph" w:styleId="713">
    <w:name w:val="Heading 1"/>
    <w:basedOn w:val="712"/>
    <w:next w:val="712"/>
    <w:link w:val="843"/>
    <w:uiPriority w:val="99"/>
    <w:qFormat/>
    <w:pPr>
      <w:jc w:val="center"/>
      <w:spacing w:before="108" w:after="108" w:line="240" w:lineRule="auto"/>
      <w:widowControl w:val="off"/>
      <w:outlineLvl w:val="0"/>
    </w:pPr>
    <w:rPr>
      <w:rFonts w:ascii="Times New Roman" w:hAnsi="Times New Roman" w:cs="Times New Roman" w:eastAsiaTheme="minorEastAsia"/>
      <w:b/>
      <w:bCs/>
      <w:color w:val="26282f"/>
      <w:sz w:val="24"/>
      <w:szCs w:val="24"/>
      <w:lang w:eastAsia="ru-RU"/>
    </w:rPr>
  </w:style>
  <w:style w:type="paragraph" w:styleId="714">
    <w:name w:val="Heading 2"/>
    <w:basedOn w:val="712"/>
    <w:next w:val="712"/>
    <w:link w:val="844"/>
    <w:uiPriority w:val="9"/>
    <w:unhideWhenUsed/>
    <w:qFormat/>
    <w:pPr>
      <w:jc w:val="center"/>
      <w:keepLines/>
      <w:keepNext/>
      <w:spacing w:before="120" w:after="120"/>
      <w:outlineLvl w:val="1"/>
    </w:pPr>
    <w:rPr>
      <w:rFonts w:ascii="Times New Roman" w:hAnsi="Times New Roman" w:cs="Times New Roman" w:eastAsiaTheme="majorEastAsia"/>
      <w:b/>
      <w:sz w:val="28"/>
      <w:szCs w:val="26"/>
    </w:rPr>
  </w:style>
  <w:style w:type="paragraph" w:styleId="715">
    <w:name w:val="Heading 3"/>
    <w:basedOn w:val="712"/>
    <w:next w:val="712"/>
    <w:link w:val="845"/>
    <w:uiPriority w:val="9"/>
    <w:unhideWhenUsed/>
    <w:qFormat/>
    <w:pPr>
      <w:jc w:val="center"/>
      <w:keepLines/>
      <w:keepNext/>
      <w:spacing w:before="40" w:after="0"/>
      <w:outlineLvl w:val="2"/>
    </w:pPr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paragraph" w:styleId="716">
    <w:name w:val="Heading 4"/>
    <w:basedOn w:val="831"/>
    <w:next w:val="712"/>
    <w:link w:val="832"/>
    <w:uiPriority w:val="9"/>
    <w:unhideWhenUsed/>
    <w:qFormat/>
    <w:pPr>
      <w:ind w:left="0"/>
      <w:jc w:val="center"/>
      <w:spacing w:before="120" w:after="120" w:line="240" w:lineRule="auto"/>
      <w:outlineLvl w:val="3"/>
    </w:pPr>
    <w:rPr>
      <w:rFonts w:ascii="Times New Roman" w:hAnsi="Times New Roman" w:cs="Times New Roman"/>
    </w:rPr>
  </w:style>
  <w:style w:type="paragraph" w:styleId="717">
    <w:name w:val="Heading 5"/>
    <w:basedOn w:val="712"/>
    <w:next w:val="712"/>
    <w:link w:val="8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712"/>
    <w:next w:val="712"/>
    <w:link w:val="8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19">
    <w:name w:val="Heading 7"/>
    <w:basedOn w:val="712"/>
    <w:next w:val="712"/>
    <w:link w:val="8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0">
    <w:name w:val="Heading 8"/>
    <w:basedOn w:val="712"/>
    <w:next w:val="712"/>
    <w:link w:val="8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21">
    <w:name w:val="Heading 9"/>
    <w:basedOn w:val="712"/>
    <w:next w:val="712"/>
    <w:link w:val="8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paragraph" w:styleId="725">
    <w:name w:val="Header"/>
    <w:basedOn w:val="712"/>
    <w:link w:val="726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26" w:customStyle="1">
    <w:name w:val="Верхний колонтитул Знак"/>
    <w:basedOn w:val="722"/>
    <w:link w:val="725"/>
    <w:uiPriority w:val="99"/>
    <w:qFormat/>
  </w:style>
  <w:style w:type="paragraph" w:styleId="727">
    <w:name w:val="Footer"/>
    <w:basedOn w:val="712"/>
    <w:link w:val="728"/>
    <w:uiPriority w:val="99"/>
    <w:unhideWhenUsed/>
    <w:qFormat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28" w:customStyle="1">
    <w:name w:val="Нижний колонтитул Знак"/>
    <w:basedOn w:val="722"/>
    <w:link w:val="727"/>
    <w:uiPriority w:val="99"/>
    <w:qFormat/>
  </w:style>
  <w:style w:type="character" w:styleId="729">
    <w:name w:val="Hyperlink"/>
    <w:basedOn w:val="722"/>
    <w:uiPriority w:val="99"/>
    <w:unhideWhenUsed/>
    <w:qFormat/>
    <w:rPr>
      <w:color w:val="0000ff"/>
      <w:u w:val="single"/>
    </w:rPr>
  </w:style>
  <w:style w:type="character" w:styleId="730">
    <w:name w:val="FollowedHyperlink"/>
    <w:basedOn w:val="722"/>
    <w:uiPriority w:val="99"/>
    <w:semiHidden/>
    <w:unhideWhenUsed/>
    <w:qFormat/>
    <w:rPr>
      <w:color w:val="800080"/>
      <w:u w:val="single"/>
    </w:rPr>
  </w:style>
  <w:style w:type="paragraph" w:styleId="731" w:customStyle="1">
    <w:name w:val="font5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32" w:customStyle="1">
    <w:name w:val="font6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33" w:customStyle="1">
    <w:name w:val="xl68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4" w:customStyle="1">
    <w:name w:val="xl69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5" w:customStyle="1">
    <w:name w:val="xl70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6" w:customStyle="1">
    <w:name w:val="xl71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7" w:customStyle="1">
    <w:name w:val="xl72"/>
    <w:basedOn w:val="712"/>
    <w:uiPriority w:val="99"/>
    <w:qFormat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8" w:customStyle="1">
    <w:name w:val="xl73"/>
    <w:basedOn w:val="712"/>
    <w:uiPriority w:val="99"/>
    <w:qFormat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39" w:customStyle="1">
    <w:name w:val="xl74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0" w:customStyle="1">
    <w:name w:val="xl75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1" w:customStyle="1">
    <w:name w:val="xl76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2" w:customStyle="1">
    <w:name w:val="xl77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3" w:customStyle="1">
    <w:name w:val="xl78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4" w:customStyle="1">
    <w:name w:val="xl79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5" w:customStyle="1">
    <w:name w:val="xl80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6" w:customStyle="1">
    <w:name w:val="xl81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7" w:customStyle="1">
    <w:name w:val="xl82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8" w:customStyle="1">
    <w:name w:val="xl83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49" w:customStyle="1">
    <w:name w:val="xl84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0" w:customStyle="1">
    <w:name w:val="xl85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1" w:customStyle="1">
    <w:name w:val="xl86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2" w:customStyle="1">
    <w:name w:val="xl87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3" w:customStyle="1">
    <w:name w:val="xl88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4" w:customStyle="1">
    <w:name w:val="xl89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5" w:customStyle="1">
    <w:name w:val="xl90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6" w:customStyle="1">
    <w:name w:val="xl91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7" w:customStyle="1">
    <w:name w:val="xl92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8" w:customStyle="1">
    <w:name w:val="xl93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59" w:customStyle="1">
    <w:name w:val="xl94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60" w:customStyle="1">
    <w:name w:val="xl95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761" w:customStyle="1">
    <w:name w:val="xl96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2" w:customStyle="1">
    <w:name w:val="xl97"/>
    <w:basedOn w:val="712"/>
    <w:uiPriority w:val="99"/>
    <w:qFormat/>
    <w:pPr>
      <w:spacing w:before="100" w:beforeAutospacing="1" w:after="100" w:afterAutospacing="1" w:line="240" w:lineRule="auto"/>
      <w:pBdr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3" w:customStyle="1">
    <w:name w:val="xl98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 w:customStyle="1">
    <w:name w:val="xl99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5" w:customStyle="1">
    <w:name w:val="xl100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6" w:customStyle="1">
    <w:name w:val="xl101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7" w:customStyle="1">
    <w:name w:val="xl102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8" w:customStyle="1">
    <w:name w:val="xl103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9" w:customStyle="1">
    <w:name w:val="xl104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70" w:customStyle="1">
    <w:name w:val="xl105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71" w:customStyle="1">
    <w:name w:val="xl106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72" w:customStyle="1">
    <w:name w:val="xl107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3" w:customStyle="1">
    <w:name w:val="xl108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4" w:customStyle="1">
    <w:name w:val="xl109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5" w:customStyle="1">
    <w:name w:val="xl110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6" w:customStyle="1">
    <w:name w:val="xl111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7" w:customStyle="1">
    <w:name w:val="xl112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8" w:customStyle="1">
    <w:name w:val="xl113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79" w:customStyle="1">
    <w:name w:val="xl114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0" w:customStyle="1">
    <w:name w:val="xl115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1" w:customStyle="1">
    <w:name w:val="xl116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2" w:customStyle="1">
    <w:name w:val="xl117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83" w:customStyle="1">
    <w:name w:val="xl118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4" w:customStyle="1">
    <w:name w:val="xl119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85" w:customStyle="1">
    <w:name w:val="xl120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b/>
      <w:bCs/>
      <w:color w:val="0070c0"/>
      <w:sz w:val="24"/>
      <w:szCs w:val="24"/>
      <w:lang w:eastAsia="ru-RU"/>
    </w:rPr>
  </w:style>
  <w:style w:type="paragraph" w:styleId="786" w:customStyle="1">
    <w:name w:val="xl121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87" w:customStyle="1">
    <w:name w:val="xl122"/>
    <w:basedOn w:val="712"/>
    <w:uiPriority w:val="99"/>
    <w:qFormat/>
    <w:pPr>
      <w:spacing w:before="100" w:beforeAutospacing="1" w:after="100" w:afterAutospacing="1" w:line="240" w:lineRule="auto"/>
      <w:shd w:val="clear" w:color="000000" w:fill="ffff00"/>
    </w:pPr>
    <w:rPr>
      <w:rFonts w:ascii="Times New Roman" w:hAnsi="Times New Roman" w:eastAsia="Times New Roman" w:cs="Times New Roman"/>
      <w:color w:val="0070c0"/>
      <w:sz w:val="24"/>
      <w:szCs w:val="24"/>
      <w:lang w:eastAsia="ru-RU"/>
    </w:rPr>
  </w:style>
  <w:style w:type="paragraph" w:styleId="788" w:customStyle="1">
    <w:name w:val="xl123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9" w:customStyle="1">
    <w:name w:val="xl124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0" w:customStyle="1">
    <w:name w:val="xl125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1" w:customStyle="1">
    <w:name w:val="xl126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792" w:customStyle="1">
    <w:name w:val="xl127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793" w:customStyle="1">
    <w:name w:val="xl128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794" w:customStyle="1">
    <w:name w:val="xl129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95" w:customStyle="1">
    <w:name w:val="xl130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96" w:customStyle="1">
    <w:name w:val="xl131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797" w:customStyle="1">
    <w:name w:val="xl132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8" w:customStyle="1">
    <w:name w:val="xl133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799" w:customStyle="1">
    <w:name w:val="xl134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00" w:customStyle="1">
    <w:name w:val="xl135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01" w:customStyle="1">
    <w:name w:val="xl136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00b050"/>
      <w:sz w:val="24"/>
      <w:szCs w:val="24"/>
      <w:lang w:eastAsia="ru-RU"/>
    </w:rPr>
  </w:style>
  <w:style w:type="paragraph" w:styleId="802" w:customStyle="1">
    <w:name w:val="xl137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3" w:customStyle="1">
    <w:name w:val="xl138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ff0000"/>
      <w:sz w:val="24"/>
      <w:szCs w:val="24"/>
      <w:lang w:eastAsia="ru-RU"/>
    </w:rPr>
  </w:style>
  <w:style w:type="paragraph" w:styleId="804" w:customStyle="1">
    <w:name w:val="xl139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05" w:customStyle="1">
    <w:name w:val="xl140"/>
    <w:basedOn w:val="712"/>
    <w:uiPriority w:val="99"/>
    <w:qFormat/>
    <w:pPr>
      <w:spacing w:before="100" w:beforeAutospacing="1" w:after="100" w:afterAutospacing="1" w:line="240" w:lineRule="auto"/>
      <w:shd w:val="clear" w:color="000000" w:fill="ffffff"/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06" w:customStyle="1">
    <w:name w:val="xl141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07" w:customStyle="1">
    <w:name w:val="xl142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08" w:customStyle="1">
    <w:name w:val="xl143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09" w:customStyle="1">
    <w:name w:val="xl144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10" w:customStyle="1">
    <w:name w:val="xl145"/>
    <w:basedOn w:val="712"/>
    <w:uiPriority w:val="99"/>
    <w:qFormat/>
    <w:pPr>
      <w:spacing w:before="100" w:beforeAutospacing="1" w:after="100" w:afterAutospacing="1" w:line="240" w:lineRule="auto"/>
      <w:pBdr>
        <w:top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11" w:customStyle="1">
    <w:name w:val="xl146"/>
    <w:basedOn w:val="712"/>
    <w:uiPriority w:val="99"/>
    <w:qFormat/>
    <w:pPr>
      <w:jc w:val="center"/>
      <w:spacing w:before="100" w:beforeAutospacing="1" w:after="100" w:afterAutospacing="1" w:line="240" w:lineRule="auto"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7030a0"/>
      <w:sz w:val="24"/>
      <w:szCs w:val="24"/>
      <w:lang w:eastAsia="ru-RU"/>
    </w:rPr>
  </w:style>
  <w:style w:type="paragraph" w:styleId="812" w:customStyle="1">
    <w:name w:val="xl147"/>
    <w:basedOn w:val="712"/>
    <w:uiPriority w:val="99"/>
    <w:qFormat/>
    <w:pPr>
      <w:jc w:val="center"/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3" w:customStyle="1">
    <w:name w:val="xl148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4" w:customStyle="1">
    <w:name w:val="xl149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5" w:customStyle="1">
    <w:name w:val="xl150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16" w:customStyle="1">
    <w:name w:val="xl151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17" w:customStyle="1">
    <w:name w:val="xl152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18" w:customStyle="1">
    <w:name w:val="xl153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9" w:customStyle="1">
    <w:name w:val="xl154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0" w:customStyle="1">
    <w:name w:val="xl155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1" w:customStyle="1">
    <w:name w:val="xl156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2" w:customStyle="1">
    <w:name w:val="xl157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3" w:customStyle="1">
    <w:name w:val="xl158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4" w:customStyle="1">
    <w:name w:val="xl159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ffffff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25" w:customStyle="1">
    <w:name w:val="xl160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top w:val="single" w:color="auto" w:sz="4" w:space="0"/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26" w:customStyle="1">
    <w:name w:val="xl161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27" w:customStyle="1">
    <w:name w:val="xl162"/>
    <w:basedOn w:val="712"/>
    <w:uiPriority w:val="99"/>
    <w:qFormat/>
    <w:pPr>
      <w:jc w:val="center"/>
      <w:spacing w:before="100" w:beforeAutospacing="1" w:after="100" w:afterAutospacing="1" w:line="240" w:lineRule="auto"/>
      <w:shd w:val="clear" w:color="000000" w:fill="dce6f1"/>
      <w:pBdr>
        <w:left w:val="single" w:color="auto" w:sz="4" w:space="0"/>
        <w:bottom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color w:val="dce6f1"/>
      <w:sz w:val="24"/>
      <w:szCs w:val="24"/>
      <w:lang w:eastAsia="ru-RU"/>
    </w:rPr>
  </w:style>
  <w:style w:type="paragraph" w:styleId="828" w:customStyle="1">
    <w:name w:val="xl163"/>
    <w:basedOn w:val="712"/>
    <w:uiPriority w:val="99"/>
    <w:qFormat/>
    <w:pPr>
      <w:spacing w:before="100" w:beforeAutospacing="1" w:after="100" w:afterAutospacing="1" w:line="240" w:lineRule="auto"/>
      <w:pBdr>
        <w:left w:val="single" w:color="auto" w:sz="4" w:space="0"/>
        <w:right w:val="single" w:color="auto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9">
    <w:name w:val="Balloon Text"/>
    <w:basedOn w:val="712"/>
    <w:link w:val="830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0" w:customStyle="1">
    <w:name w:val="Текст выноски Знак"/>
    <w:basedOn w:val="722"/>
    <w:link w:val="829"/>
    <w:uiPriority w:val="99"/>
    <w:semiHidden/>
    <w:qFormat/>
    <w:rPr>
      <w:rFonts w:ascii="Segoe UI" w:hAnsi="Segoe UI" w:cs="Segoe UI"/>
      <w:sz w:val="18"/>
      <w:szCs w:val="18"/>
    </w:rPr>
  </w:style>
  <w:style w:type="paragraph" w:styleId="831">
    <w:name w:val="List Paragraph"/>
    <w:basedOn w:val="712"/>
    <w:uiPriority w:val="34"/>
    <w:qFormat/>
    <w:pPr>
      <w:contextualSpacing/>
      <w:ind w:left="720"/>
    </w:pPr>
  </w:style>
  <w:style w:type="character" w:styleId="832" w:customStyle="1">
    <w:name w:val="Заголовок 4 Знак"/>
    <w:basedOn w:val="722"/>
    <w:link w:val="716"/>
    <w:uiPriority w:val="9"/>
    <w:qFormat/>
    <w:rPr>
      <w:rFonts w:ascii="Times New Roman" w:hAnsi="Times New Roman" w:cs="Times New Roman"/>
    </w:rPr>
  </w:style>
  <w:style w:type="paragraph" w:styleId="833">
    <w:name w:val="footnote text"/>
    <w:basedOn w:val="712"/>
    <w:link w:val="834"/>
    <w:uiPriority w:val="99"/>
    <w:unhideWhenUsed/>
    <w:qFormat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styleId="834" w:customStyle="1">
    <w:name w:val="Текст сноски Знак"/>
    <w:basedOn w:val="722"/>
    <w:link w:val="833"/>
    <w:uiPriority w:val="99"/>
    <w:qFormat/>
    <w:rPr>
      <w:rFonts w:ascii="Times New Roman" w:hAnsi="Times New Roman"/>
      <w:sz w:val="18"/>
      <w:szCs w:val="20"/>
    </w:rPr>
  </w:style>
  <w:style w:type="table" w:styleId="835" w:customStyle="1">
    <w:name w:val="Сетка таблицы1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6">
    <w:name w:val="footnote reference"/>
    <w:uiPriority w:val="99"/>
    <w:unhideWhenUsed/>
    <w:qFormat/>
    <w:rPr>
      <w:rFonts w:hint="default" w:ascii="Times New Roman" w:hAnsi="Times New Roman" w:cs="Times New Roman"/>
      <w:vertAlign w:val="superscript"/>
    </w:rPr>
  </w:style>
  <w:style w:type="paragraph" w:styleId="837" w:customStyle="1">
    <w:name w:val="Table Paragraph"/>
    <w:basedOn w:val="712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838" w:customStyle="1">
    <w:name w:val="Основной текст + Интервал 0 pt"/>
    <w:basedOn w:val="72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1"/>
      <w:position w:val="0"/>
      <w:sz w:val="21"/>
      <w:szCs w:val="21"/>
      <w:u w:val="none"/>
      <w:lang w:val="ru-RU" w:eastAsia="ru-RU" w:bidi="ru-RU"/>
    </w:rPr>
  </w:style>
  <w:style w:type="character" w:styleId="839" w:customStyle="1">
    <w:name w:val="Основной текст_"/>
    <w:basedOn w:val="722"/>
    <w:link w:val="840"/>
    <w:qFormat/>
    <w:rPr>
      <w:rFonts w:ascii="Times New Roman" w:hAnsi="Times New Roman" w:eastAsia="Times New Roman" w:cs="Times New Roman"/>
      <w:sz w:val="21"/>
      <w:szCs w:val="21"/>
      <w:shd w:val="clear" w:color="auto" w:fill="ffffff"/>
    </w:rPr>
  </w:style>
  <w:style w:type="paragraph" w:styleId="840" w:customStyle="1">
    <w:name w:val="Основной текст2"/>
    <w:basedOn w:val="712"/>
    <w:link w:val="839"/>
    <w:qFormat/>
    <w:pPr>
      <w:spacing w:after="0" w:line="264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1"/>
      <w:szCs w:val="21"/>
    </w:rPr>
  </w:style>
  <w:style w:type="character" w:styleId="841" w:customStyle="1">
    <w:name w:val="Основной текст1"/>
    <w:basedOn w:val="839"/>
    <w:qFormat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table" w:styleId="842">
    <w:name w:val="Table Grid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3" w:customStyle="1">
    <w:name w:val="Заголовок 1 Знак"/>
    <w:basedOn w:val="722"/>
    <w:link w:val="713"/>
    <w:uiPriority w:val="9"/>
    <w:qFormat/>
    <w:rPr>
      <w:rFonts w:ascii="Times New Roman" w:hAnsi="Times New Roman" w:cs="Times New Roman" w:eastAsiaTheme="minorEastAsia"/>
      <w:b/>
      <w:bCs/>
      <w:color w:val="26282f"/>
      <w:sz w:val="24"/>
      <w:szCs w:val="24"/>
      <w:lang w:eastAsia="ru-RU"/>
    </w:rPr>
  </w:style>
  <w:style w:type="character" w:styleId="844" w:customStyle="1">
    <w:name w:val="Заголовок 2 Знак"/>
    <w:basedOn w:val="722"/>
    <w:link w:val="714"/>
    <w:uiPriority w:val="9"/>
    <w:qFormat/>
    <w:rPr>
      <w:rFonts w:ascii="Times New Roman" w:hAnsi="Times New Roman" w:cs="Times New Roman" w:eastAsiaTheme="majorEastAsia"/>
      <w:b/>
      <w:sz w:val="28"/>
      <w:szCs w:val="26"/>
    </w:rPr>
  </w:style>
  <w:style w:type="character" w:styleId="845" w:customStyle="1">
    <w:name w:val="Заголовок 3 Знак"/>
    <w:basedOn w:val="722"/>
    <w:link w:val="715"/>
    <w:uiPriority w:val="9"/>
    <w:qFormat/>
    <w:rPr>
      <w:rFonts w:ascii="Times New Roman" w:hAnsi="Times New Roman" w:eastAsia="Times New Roman" w:cs="Times New Roman"/>
      <w:b/>
      <w:sz w:val="28"/>
      <w:szCs w:val="24"/>
      <w:lang w:eastAsia="ru-RU"/>
    </w:rPr>
  </w:style>
  <w:style w:type="character" w:styleId="846">
    <w:name w:val="annotation reference"/>
    <w:basedOn w:val="722"/>
    <w:uiPriority w:val="99"/>
    <w:semiHidden/>
    <w:unhideWhenUsed/>
    <w:qFormat/>
    <w:rPr>
      <w:sz w:val="16"/>
      <w:szCs w:val="16"/>
    </w:rPr>
  </w:style>
  <w:style w:type="paragraph" w:styleId="847">
    <w:name w:val="annotation text"/>
    <w:basedOn w:val="712"/>
    <w:link w:val="848"/>
    <w:uiPriority w:val="99"/>
    <w:unhideWhenUsed/>
    <w:qFormat/>
    <w:pPr>
      <w:spacing w:line="240" w:lineRule="auto"/>
    </w:pPr>
    <w:rPr>
      <w:sz w:val="20"/>
      <w:szCs w:val="20"/>
    </w:rPr>
  </w:style>
  <w:style w:type="character" w:styleId="848" w:customStyle="1">
    <w:name w:val="Текст примечания Знак"/>
    <w:basedOn w:val="722"/>
    <w:link w:val="847"/>
    <w:uiPriority w:val="99"/>
    <w:qFormat/>
    <w:rPr>
      <w:sz w:val="20"/>
      <w:szCs w:val="20"/>
    </w:rPr>
  </w:style>
  <w:style w:type="table" w:styleId="849" w:customStyle="1">
    <w:name w:val="Сетка таблицы14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0" w:customStyle="1">
    <w:name w:val="ConsPlusNormal"/>
    <w:link w:val="1063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table" w:styleId="851" w:customStyle="1">
    <w:name w:val="Сетка таблицы1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2" w:customStyle="1">
    <w:name w:val="Сетка таблицы2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3" w:customStyle="1">
    <w:name w:val="Сетка таблицы3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4">
    <w:name w:val="annotation subject"/>
    <w:basedOn w:val="847"/>
    <w:next w:val="847"/>
    <w:link w:val="855"/>
    <w:uiPriority w:val="99"/>
    <w:semiHidden/>
    <w:unhideWhenUsed/>
    <w:qFormat/>
    <w:rPr>
      <w:b/>
      <w:bCs/>
    </w:rPr>
  </w:style>
  <w:style w:type="character" w:styleId="855" w:customStyle="1">
    <w:name w:val="Тема примечания Знак"/>
    <w:basedOn w:val="848"/>
    <w:link w:val="854"/>
    <w:uiPriority w:val="99"/>
    <w:semiHidden/>
    <w:qFormat/>
    <w:rPr>
      <w:b/>
      <w:bCs/>
      <w:sz w:val="20"/>
      <w:szCs w:val="20"/>
    </w:rPr>
  </w:style>
  <w:style w:type="paragraph" w:styleId="856" w:customStyle="1">
    <w:name w:val="ConsPlusCell"/>
    <w:uiPriority w:val="99"/>
    <w:qFormat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857" w:customStyle="1">
    <w:name w:val="Сетка таблицы4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8" w:customStyle="1">
    <w:name w:val="Сетка таблицы4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9" w:customStyle="1">
    <w:name w:val="Нормальный (таблица)"/>
    <w:basedOn w:val="712"/>
    <w:next w:val="712"/>
    <w:uiPriority w:val="99"/>
    <w:qFormat/>
    <w:pPr>
      <w:jc w:val="both"/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60" w:customStyle="1">
    <w:name w:val="Прижатый влево"/>
    <w:basedOn w:val="712"/>
    <w:next w:val="712"/>
    <w:uiPriority w:val="99"/>
    <w:qFormat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4"/>
      <w:szCs w:val="24"/>
      <w:lang w:eastAsia="ru-RU"/>
    </w:rPr>
  </w:style>
  <w:style w:type="paragraph" w:styleId="861">
    <w:name w:val="endnote text"/>
    <w:basedOn w:val="712"/>
    <w:link w:val="862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styleId="862" w:customStyle="1">
    <w:name w:val="Текст концевой сноски Знак"/>
    <w:basedOn w:val="722"/>
    <w:link w:val="861"/>
    <w:uiPriority w:val="99"/>
    <w:semiHidden/>
    <w:qFormat/>
    <w:rPr>
      <w:sz w:val="20"/>
      <w:szCs w:val="20"/>
    </w:rPr>
  </w:style>
  <w:style w:type="character" w:styleId="863">
    <w:name w:val="endnote reference"/>
    <w:basedOn w:val="722"/>
    <w:uiPriority w:val="99"/>
    <w:unhideWhenUsed/>
    <w:qFormat/>
    <w:rPr>
      <w:vertAlign w:val="superscript"/>
    </w:rPr>
  </w:style>
  <w:style w:type="paragraph" w:styleId="864">
    <w:name w:val="Revision"/>
    <w:hidden/>
    <w:uiPriority w:val="99"/>
    <w:semiHidden/>
    <w:qFormat/>
    <w:pPr>
      <w:spacing w:after="0" w:line="240" w:lineRule="auto"/>
    </w:pPr>
  </w:style>
  <w:style w:type="table" w:styleId="865" w:customStyle="1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66" w:customStyle="1">
    <w:name w:val="footnote description"/>
    <w:next w:val="712"/>
    <w:link w:val="867"/>
    <w:hidden/>
    <w:qFormat/>
    <w:pPr>
      <w:spacing w:after="3"/>
    </w:pPr>
    <w:rPr>
      <w:rFonts w:ascii="Times New Roman" w:hAnsi="Times New Roman" w:eastAsia="Times New Roman" w:cs="Times New Roman"/>
      <w:color w:val="000000"/>
      <w:sz w:val="18"/>
      <w:lang w:eastAsia="ru-RU"/>
    </w:rPr>
  </w:style>
  <w:style w:type="character" w:styleId="867" w:customStyle="1">
    <w:name w:val="footnote description Char"/>
    <w:link w:val="866"/>
    <w:qFormat/>
    <w:rPr>
      <w:rFonts w:ascii="Times New Roman" w:hAnsi="Times New Roman" w:eastAsia="Times New Roman" w:cs="Times New Roman"/>
      <w:color w:val="000000"/>
      <w:sz w:val="18"/>
      <w:lang w:eastAsia="ru-RU"/>
    </w:rPr>
  </w:style>
  <w:style w:type="character" w:styleId="868" w:customStyle="1">
    <w:name w:val="footnote mark"/>
    <w:hidden/>
    <w:rPr>
      <w:rFonts w:ascii="Times New Roman" w:hAnsi="Times New Roman" w:eastAsia="Times New Roman" w:cs="Times New Roman"/>
      <w:color w:val="000000"/>
      <w:sz w:val="18"/>
      <w:vertAlign w:val="superscript"/>
    </w:rPr>
  </w:style>
  <w:style w:type="table" w:styleId="869" w:customStyle="1">
    <w:name w:val="Сетка таблицы светлая1"/>
    <w:basedOn w:val="723"/>
    <w:uiPriority w:val="40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870" w:customStyle="1">
    <w:name w:val="Сетка таблицы5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1">
    <w:name w:val="page number"/>
    <w:basedOn w:val="722"/>
  </w:style>
  <w:style w:type="paragraph" w:styleId="872" w:customStyle="1">
    <w:name w:val="Default"/>
    <w:uiPriority w:val="99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873" w:customStyle="1">
    <w:name w:val="Неразрешенное упоминание1"/>
    <w:basedOn w:val="722"/>
    <w:uiPriority w:val="99"/>
    <w:semiHidden/>
    <w:unhideWhenUsed/>
    <w:rPr>
      <w:color w:val="605e5c"/>
      <w:shd w:val="clear" w:color="auto" w:fill="e1dfdd"/>
    </w:rPr>
  </w:style>
  <w:style w:type="table" w:styleId="874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75">
    <w:name w:val="Body Text"/>
    <w:basedOn w:val="712"/>
    <w:link w:val="876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16"/>
      <w:szCs w:val="16"/>
    </w:rPr>
  </w:style>
  <w:style w:type="character" w:styleId="876" w:customStyle="1">
    <w:name w:val="Основной текст Знак"/>
    <w:basedOn w:val="722"/>
    <w:link w:val="875"/>
    <w:uiPriority w:val="1"/>
    <w:qFormat/>
    <w:rPr>
      <w:rFonts w:ascii="Times New Roman" w:hAnsi="Times New Roman" w:eastAsia="Times New Roman" w:cs="Times New Roman"/>
      <w:sz w:val="16"/>
      <w:szCs w:val="16"/>
    </w:rPr>
  </w:style>
  <w:style w:type="character" w:styleId="877" w:customStyle="1">
    <w:name w:val="Основной текст + Candara;Интервал 0 pt"/>
    <w:basedOn w:val="839"/>
    <w:rPr>
      <w:rFonts w:ascii="Candara" w:hAnsi="Candara" w:eastAsia="Candara" w:cs="Candara"/>
      <w:b w:val="0"/>
      <w:bCs w:val="0"/>
      <w:i w:val="0"/>
      <w:iCs w:val="0"/>
      <w:smallCaps w:val="0"/>
      <w:strike w:val="0"/>
      <w:color w:val="000000"/>
      <w:spacing w:val="-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878" w:customStyle="1">
    <w:name w:val="markedcontent"/>
    <w:basedOn w:val="722"/>
  </w:style>
  <w:style w:type="character" w:styleId="879" w:customStyle="1">
    <w:name w:val="Основной текст + Малые прописные;Интервал 0 pt"/>
    <w:basedOn w:val="839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1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880" w:customStyle="1">
    <w:name w:val="ConsPlusTitle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881" w:customStyle="1">
    <w:name w:val="font7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14"/>
      <w:szCs w:val="14"/>
      <w:lang w:eastAsia="ru-RU"/>
    </w:rPr>
  </w:style>
  <w:style w:type="paragraph" w:styleId="882" w:customStyle="1">
    <w:name w:val="font8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83" w:customStyle="1">
    <w:name w:val="font9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84" w:customStyle="1">
    <w:name w:val="font10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14"/>
      <w:szCs w:val="14"/>
      <w:lang w:eastAsia="ru-RU"/>
    </w:rPr>
  </w:style>
  <w:style w:type="character" w:styleId="885" w:customStyle="1">
    <w:name w:val="ant-input-affix-wrapper"/>
    <w:basedOn w:val="722"/>
  </w:style>
  <w:style w:type="character" w:styleId="886" w:customStyle="1">
    <w:name w:val="h3"/>
    <w:basedOn w:val="722"/>
  </w:style>
  <w:style w:type="character" w:styleId="887" w:customStyle="1">
    <w:name w:val="ant-checkbox"/>
    <w:basedOn w:val="722"/>
  </w:style>
  <w:style w:type="numbering" w:styleId="888" w:customStyle="1">
    <w:name w:val="Госпрограмма"/>
    <w:uiPriority w:val="99"/>
    <w:pPr>
      <w:numPr>
        <w:numId w:val="1"/>
      </w:numPr>
    </w:pPr>
  </w:style>
  <w:style w:type="character" w:styleId="889" w:customStyle="1">
    <w:name w:val="fontstyle01"/>
    <w:basedOn w:val="722"/>
    <w:rPr>
      <w:rFonts w:hint="default"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styleId="890" w:customStyle="1">
    <w:name w:val="message-time"/>
    <w:basedOn w:val="722"/>
  </w:style>
  <w:style w:type="character" w:styleId="891" w:customStyle="1">
    <w:name w:val="Заголовок 5 Знак"/>
    <w:basedOn w:val="722"/>
    <w:link w:val="7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2" w:customStyle="1">
    <w:name w:val="Заголовок 6 Знак"/>
    <w:basedOn w:val="722"/>
    <w:link w:val="718"/>
    <w:uiPriority w:val="9"/>
    <w:qFormat/>
    <w:rPr>
      <w:rFonts w:ascii="Arial" w:hAnsi="Arial" w:eastAsia="Arial" w:cs="Arial"/>
      <w:b/>
      <w:bCs/>
    </w:rPr>
  </w:style>
  <w:style w:type="character" w:styleId="893" w:customStyle="1">
    <w:name w:val="Заголовок 7 Знак"/>
    <w:basedOn w:val="722"/>
    <w:link w:val="719"/>
    <w:uiPriority w:val="9"/>
    <w:qFormat/>
    <w:rPr>
      <w:rFonts w:ascii="Arial" w:hAnsi="Arial" w:eastAsia="Arial" w:cs="Arial"/>
      <w:b/>
      <w:bCs/>
      <w:i/>
      <w:iCs/>
    </w:rPr>
  </w:style>
  <w:style w:type="character" w:styleId="894" w:customStyle="1">
    <w:name w:val="Заголовок 8 Знак"/>
    <w:basedOn w:val="722"/>
    <w:link w:val="720"/>
    <w:uiPriority w:val="9"/>
    <w:qFormat/>
    <w:rPr>
      <w:rFonts w:ascii="Arial" w:hAnsi="Arial" w:eastAsia="Arial" w:cs="Arial"/>
      <w:i/>
      <w:iCs/>
    </w:rPr>
  </w:style>
  <w:style w:type="character" w:styleId="895" w:customStyle="1">
    <w:name w:val="Заголовок 9 Знак"/>
    <w:basedOn w:val="722"/>
    <w:link w:val="72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96" w:customStyle="1">
    <w:name w:val="Heading 1 Char"/>
    <w:basedOn w:val="722"/>
    <w:uiPriority w:val="9"/>
    <w:rPr>
      <w:rFonts w:ascii="Arial" w:hAnsi="Arial" w:eastAsia="Arial" w:cs="Arial"/>
      <w:sz w:val="40"/>
      <w:szCs w:val="40"/>
    </w:rPr>
  </w:style>
  <w:style w:type="character" w:styleId="897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898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899" w:customStyle="1">
    <w:name w:val="Heading 4 Char"/>
    <w:basedOn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900">
    <w:name w:val="No Spacing"/>
    <w:uiPriority w:val="1"/>
    <w:qFormat/>
    <w:pPr>
      <w:spacing w:after="0" w:line="240" w:lineRule="auto"/>
    </w:pPr>
  </w:style>
  <w:style w:type="paragraph" w:styleId="901">
    <w:name w:val="Title"/>
    <w:basedOn w:val="712"/>
    <w:next w:val="712"/>
    <w:link w:val="902"/>
    <w:uiPriority w:val="99"/>
    <w:qFormat/>
    <w:pPr>
      <w:contextualSpacing/>
      <w:spacing w:before="300" w:after="200"/>
    </w:pPr>
    <w:rPr>
      <w:sz w:val="48"/>
      <w:szCs w:val="48"/>
    </w:rPr>
  </w:style>
  <w:style w:type="character" w:styleId="902" w:customStyle="1">
    <w:name w:val="Название Знак"/>
    <w:basedOn w:val="722"/>
    <w:link w:val="901"/>
    <w:uiPriority w:val="99"/>
    <w:qFormat/>
    <w:rPr>
      <w:sz w:val="48"/>
      <w:szCs w:val="48"/>
    </w:rPr>
  </w:style>
  <w:style w:type="paragraph" w:styleId="903">
    <w:name w:val="Subtitle"/>
    <w:basedOn w:val="712"/>
    <w:next w:val="712"/>
    <w:link w:val="904"/>
    <w:uiPriority w:val="11"/>
    <w:qFormat/>
    <w:pPr>
      <w:spacing w:before="200" w:after="200"/>
    </w:pPr>
    <w:rPr>
      <w:sz w:val="24"/>
      <w:szCs w:val="24"/>
    </w:rPr>
  </w:style>
  <w:style w:type="character" w:styleId="904" w:customStyle="1">
    <w:name w:val="Подзаголовок Знак"/>
    <w:basedOn w:val="722"/>
    <w:link w:val="903"/>
    <w:uiPriority w:val="11"/>
    <w:qFormat/>
    <w:rPr>
      <w:sz w:val="24"/>
      <w:szCs w:val="24"/>
    </w:rPr>
  </w:style>
  <w:style w:type="paragraph" w:styleId="905">
    <w:name w:val="Quote"/>
    <w:basedOn w:val="712"/>
    <w:next w:val="712"/>
    <w:link w:val="906"/>
    <w:uiPriority w:val="29"/>
    <w:qFormat/>
    <w:pPr>
      <w:ind w:left="720" w:right="720"/>
    </w:pPr>
    <w:rPr>
      <w:i/>
    </w:rPr>
  </w:style>
  <w:style w:type="character" w:styleId="906" w:customStyle="1">
    <w:name w:val="Цитата 2 Знак"/>
    <w:basedOn w:val="722"/>
    <w:link w:val="905"/>
    <w:uiPriority w:val="29"/>
    <w:qFormat/>
    <w:rPr>
      <w:i/>
    </w:rPr>
  </w:style>
  <w:style w:type="paragraph" w:styleId="907">
    <w:name w:val="Intense Quote"/>
    <w:basedOn w:val="712"/>
    <w:next w:val="712"/>
    <w:link w:val="9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8" w:customStyle="1">
    <w:name w:val="Выделенная цитата Знак"/>
    <w:basedOn w:val="722"/>
    <w:link w:val="907"/>
    <w:uiPriority w:val="30"/>
    <w:qFormat/>
    <w:rPr>
      <w:i/>
      <w:shd w:val="clear" w:color="auto" w:fill="f2f2f2"/>
    </w:rPr>
  </w:style>
  <w:style w:type="character" w:styleId="909" w:customStyle="1">
    <w:name w:val="Header Char"/>
    <w:basedOn w:val="722"/>
    <w:uiPriority w:val="99"/>
  </w:style>
  <w:style w:type="character" w:styleId="910" w:customStyle="1">
    <w:name w:val="Footer Char"/>
    <w:basedOn w:val="722"/>
    <w:uiPriority w:val="99"/>
  </w:style>
  <w:style w:type="paragraph" w:styleId="911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12" w:customStyle="1">
    <w:name w:val="Caption Char"/>
    <w:uiPriority w:val="99"/>
  </w:style>
  <w:style w:type="table" w:styleId="913" w:customStyle="1">
    <w:name w:val="Table Grid Light"/>
    <w:basedOn w:val="7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4">
    <w:name w:val="Plain Table 1"/>
    <w:basedOn w:val="723"/>
    <w:uiPriority w:val="41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2"/>
    <w:basedOn w:val="723"/>
    <w:uiPriority w:val="42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6">
    <w:name w:val="Plain Table 3"/>
    <w:basedOn w:val="723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7">
    <w:name w:val="Plain Table 4"/>
    <w:basedOn w:val="723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Plain Table 5"/>
    <w:basedOn w:val="723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9">
    <w:name w:val="Grid Table 1 Light"/>
    <w:basedOn w:val="723"/>
    <w:uiPriority w:val="46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Grid Table 1 Light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Grid Table 1 Light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2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"/>
    <w:basedOn w:val="723"/>
    <w:uiPriority w:val="48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4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1" w:customStyle="1">
    <w:name w:val="Grid Table 4 - Accent 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42" w:customStyle="1">
    <w:name w:val="Grid Table 4 - Accent 2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43" w:customStyle="1">
    <w:name w:val="Grid Table 4 - Accent 3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44" w:customStyle="1">
    <w:name w:val="Grid Table 4 - Accent 4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45" w:customStyle="1">
    <w:name w:val="Grid Table 4 - Accent 5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46" w:customStyle="1">
    <w:name w:val="Grid Table 4 - Accent 6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47">
    <w:name w:val="Grid Table 5 Dark"/>
    <w:basedOn w:val="723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52" w:customStyle="1">
    <w:name w:val="Grid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53" w:customStyle="1">
    <w:name w:val="Grid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54">
    <w:name w:val="Grid Table 6 Colorful"/>
    <w:basedOn w:val="723"/>
    <w:uiPriority w:val="5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5" w:customStyle="1">
    <w:name w:val="Grid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56" w:customStyle="1">
    <w:name w:val="Grid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57" w:customStyle="1">
    <w:name w:val="Grid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58" w:customStyle="1">
    <w:name w:val="Grid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59" w:customStyle="1">
    <w:name w:val="Grid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60" w:customStyle="1">
    <w:name w:val="Grid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61">
    <w:name w:val="Grid Table 7 Colorful"/>
    <w:basedOn w:val="723"/>
    <w:uiPriority w:val="52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2" w:customStyle="1">
    <w:name w:val="Grid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3" w:customStyle="1">
    <w:name w:val="Grid Table 7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4" w:customStyle="1">
    <w:name w:val="Grid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5" w:customStyle="1">
    <w:name w:val="Grid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6" w:customStyle="1">
    <w:name w:val="Grid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7" w:customStyle="1">
    <w:name w:val="Grid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968">
    <w:name w:val="List Table 1 Light"/>
    <w:basedOn w:val="723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2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3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4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1 Light - Accent 5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1 Light - Accent 6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78" w:customStyle="1">
    <w:name w:val="List Table 2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79" w:customStyle="1">
    <w:name w:val="List Table 2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80" w:customStyle="1">
    <w:name w:val="List Table 2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81" w:customStyle="1">
    <w:name w:val="List Table 2 - Accent 6"/>
    <w:basedOn w:val="723"/>
    <w:uiPriority w:val="99"/>
    <w:qFormat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82">
    <w:name w:val="List Table 3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3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3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4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4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5 Dark"/>
    <w:basedOn w:val="723"/>
    <w:uiPriority w:val="5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List Table 5 Dark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0" w:customStyle="1">
    <w:name w:val="List Table 5 Dark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1" w:customStyle="1">
    <w:name w:val="List Table 5 Dark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2" w:customStyle="1">
    <w:name w:val="List Table 5 Dark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3">
    <w:name w:val="List Table 6 Colorful"/>
    <w:basedOn w:val="723"/>
    <w:uiPriority w:val="5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4" w:customStyle="1">
    <w:name w:val="List Table 6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05" w:customStyle="1">
    <w:name w:val="List Table 6 Colorful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06" w:customStyle="1">
    <w:name w:val="List Table 6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07" w:customStyle="1">
    <w:name w:val="List Table 6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08" w:customStyle="1">
    <w:name w:val="List Table 6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09" w:customStyle="1">
    <w:name w:val="List Table 6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10">
    <w:name w:val="List Table 7 Colorful"/>
    <w:basedOn w:val="723"/>
    <w:uiPriority w:val="52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1" w:customStyle="1">
    <w:name w:val="List Table 7 Colorful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2" w:customStyle="1">
    <w:name w:val="List Table 7 Colorful - Accent 2"/>
    <w:basedOn w:val="723"/>
    <w:uiPriority w:val="99"/>
    <w:qFormat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3" w:customStyle="1">
    <w:name w:val="List Table 7 Colorful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4" w:customStyle="1">
    <w:name w:val="List Table 7 Colorful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5" w:customStyle="1">
    <w:name w:val="List Table 7 Colorful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6" w:customStyle="1">
    <w:name w:val="List Table 7 Colorful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17" w:customStyle="1">
    <w:name w:val="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8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19" w:customStyle="1">
    <w:name w:val="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20" w:customStyle="1">
    <w:name w:val="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21" w:customStyle="1">
    <w:name w:val="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22" w:customStyle="1">
    <w:name w:val="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23" w:customStyle="1">
    <w:name w:val="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24" w:customStyle="1">
    <w:name w:val="Bordered &amp; Lined - Accent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5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26" w:customStyle="1">
    <w:name w:val="Bordered &amp; Lined - Accent 2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27" w:customStyle="1">
    <w:name w:val="Bordered &amp; Lined - Accent 3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28" w:customStyle="1">
    <w:name w:val="Bordered &amp; Lined - Accent 4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29" w:customStyle="1">
    <w:name w:val="Bordered &amp; Lined - Accent 5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30" w:customStyle="1">
    <w:name w:val="Bordered &amp; Lined - Accent 6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31" w:customStyle="1">
    <w:name w:val="Bordered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32" w:customStyle="1">
    <w:name w:val="Bordered - Accent 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33" w:customStyle="1">
    <w:name w:val="Bordered - Accent 2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34" w:customStyle="1">
    <w:name w:val="Bordered - Accent 3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35" w:customStyle="1">
    <w:name w:val="Bordered - Accent 4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36" w:customStyle="1">
    <w:name w:val="Bordered - Accent 5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37" w:customStyle="1">
    <w:name w:val="Bordered - Accent 6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38" w:customStyle="1">
    <w:name w:val="Footnote Text Char"/>
    <w:uiPriority w:val="99"/>
    <w:rPr>
      <w:sz w:val="18"/>
    </w:rPr>
  </w:style>
  <w:style w:type="character" w:styleId="1039" w:customStyle="1">
    <w:name w:val="Endnote Text Char"/>
    <w:uiPriority w:val="99"/>
    <w:rPr>
      <w:sz w:val="20"/>
    </w:rPr>
  </w:style>
  <w:style w:type="paragraph" w:styleId="1040">
    <w:name w:val="toc 1"/>
    <w:basedOn w:val="712"/>
    <w:next w:val="712"/>
    <w:uiPriority w:val="39"/>
    <w:unhideWhenUsed/>
    <w:qFormat/>
    <w:pPr>
      <w:spacing w:after="57"/>
    </w:pPr>
  </w:style>
  <w:style w:type="paragraph" w:styleId="1041">
    <w:name w:val="toc 2"/>
    <w:basedOn w:val="712"/>
    <w:next w:val="712"/>
    <w:uiPriority w:val="39"/>
    <w:unhideWhenUsed/>
    <w:qFormat/>
    <w:pPr>
      <w:ind w:left="283"/>
      <w:spacing w:after="57"/>
    </w:pPr>
  </w:style>
  <w:style w:type="paragraph" w:styleId="1042">
    <w:name w:val="toc 3"/>
    <w:basedOn w:val="712"/>
    <w:next w:val="712"/>
    <w:uiPriority w:val="39"/>
    <w:unhideWhenUsed/>
    <w:qFormat/>
    <w:pPr>
      <w:ind w:left="567"/>
      <w:spacing w:after="57"/>
    </w:pPr>
  </w:style>
  <w:style w:type="paragraph" w:styleId="1043">
    <w:name w:val="toc 4"/>
    <w:basedOn w:val="712"/>
    <w:next w:val="712"/>
    <w:uiPriority w:val="39"/>
    <w:unhideWhenUsed/>
    <w:qFormat/>
    <w:pPr>
      <w:ind w:left="850"/>
      <w:spacing w:after="57"/>
    </w:pPr>
  </w:style>
  <w:style w:type="paragraph" w:styleId="1044">
    <w:name w:val="toc 5"/>
    <w:basedOn w:val="712"/>
    <w:next w:val="712"/>
    <w:uiPriority w:val="39"/>
    <w:unhideWhenUsed/>
    <w:qFormat/>
    <w:pPr>
      <w:ind w:left="1134"/>
      <w:spacing w:after="57"/>
    </w:pPr>
  </w:style>
  <w:style w:type="paragraph" w:styleId="1045">
    <w:name w:val="toc 6"/>
    <w:basedOn w:val="712"/>
    <w:next w:val="712"/>
    <w:uiPriority w:val="39"/>
    <w:unhideWhenUsed/>
    <w:qFormat/>
    <w:pPr>
      <w:ind w:left="1417"/>
      <w:spacing w:after="57"/>
    </w:pPr>
  </w:style>
  <w:style w:type="paragraph" w:styleId="1046">
    <w:name w:val="toc 7"/>
    <w:basedOn w:val="712"/>
    <w:next w:val="712"/>
    <w:uiPriority w:val="39"/>
    <w:unhideWhenUsed/>
    <w:qFormat/>
    <w:pPr>
      <w:ind w:left="1701"/>
      <w:spacing w:after="57"/>
    </w:pPr>
  </w:style>
  <w:style w:type="paragraph" w:styleId="1047">
    <w:name w:val="toc 8"/>
    <w:basedOn w:val="712"/>
    <w:next w:val="712"/>
    <w:uiPriority w:val="39"/>
    <w:unhideWhenUsed/>
    <w:qFormat/>
    <w:pPr>
      <w:ind w:left="1984"/>
      <w:spacing w:after="57"/>
    </w:pPr>
  </w:style>
  <w:style w:type="paragraph" w:styleId="1048">
    <w:name w:val="toc 9"/>
    <w:basedOn w:val="712"/>
    <w:next w:val="712"/>
    <w:uiPriority w:val="39"/>
    <w:unhideWhenUsed/>
    <w:qFormat/>
    <w:pPr>
      <w:ind w:left="2268"/>
      <w:spacing w:after="57"/>
    </w:pPr>
  </w:style>
  <w:style w:type="paragraph" w:styleId="1049">
    <w:name w:val="TOC Heading"/>
    <w:uiPriority w:val="39"/>
    <w:unhideWhenUsed/>
    <w:qFormat/>
  </w:style>
  <w:style w:type="paragraph" w:styleId="1050">
    <w:name w:val="table of figures"/>
    <w:basedOn w:val="712"/>
    <w:next w:val="712"/>
    <w:uiPriority w:val="99"/>
    <w:unhideWhenUsed/>
    <w:qFormat/>
    <w:pPr>
      <w:spacing w:after="0"/>
    </w:pPr>
  </w:style>
  <w:style w:type="table" w:styleId="1051" w:customStyle="1">
    <w:name w:val="Table Normal1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52" w:customStyle="1">
    <w:name w:val="Обычный~LT~Gliederung 3"/>
    <w:basedOn w:val="712"/>
    <w:uiPriority w:val="99"/>
    <w:qFormat/>
    <w:pPr>
      <w:spacing w:before="120" w:after="0" w:line="240" w:lineRule="auto"/>
      <w:tabs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</w:pPr>
    <w:rPr>
      <w:rFonts w:ascii="Lohit Devanagari" w:hAnsi="Lohit Devanagari" w:eastAsia="DejaVu Sans" w:cs="Calibri"/>
      <w:color w:val="464646"/>
      <w:sz w:val="48"/>
      <w:szCs w:val="24"/>
      <w:lang w:val="en-US"/>
    </w:rPr>
  </w:style>
  <w:style w:type="character" w:styleId="1053" w:customStyle="1">
    <w:name w:val="Heading 5 Char"/>
    <w:basedOn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1054" w:customStyle="1">
    <w:name w:val="Heading 6 Char"/>
    <w:basedOn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1055" w:customStyle="1">
    <w:name w:val="Heading 7 Char"/>
    <w:basedOn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56" w:customStyle="1">
    <w:name w:val="Heading 8 Char"/>
    <w:basedOn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1057" w:customStyle="1">
    <w:name w:val="Heading 9 Char"/>
    <w:basedOn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1058" w:customStyle="1">
    <w:name w:val="Title Char"/>
    <w:basedOn w:val="722"/>
    <w:uiPriority w:val="10"/>
    <w:rPr>
      <w:sz w:val="48"/>
      <w:szCs w:val="48"/>
    </w:rPr>
  </w:style>
  <w:style w:type="character" w:styleId="1059" w:customStyle="1">
    <w:name w:val="Subtitle Char"/>
    <w:basedOn w:val="722"/>
    <w:uiPriority w:val="11"/>
    <w:rPr>
      <w:sz w:val="24"/>
      <w:szCs w:val="24"/>
    </w:rPr>
  </w:style>
  <w:style w:type="character" w:styleId="1060" w:customStyle="1">
    <w:name w:val="Quote Char"/>
    <w:uiPriority w:val="29"/>
    <w:rPr>
      <w:i/>
    </w:rPr>
  </w:style>
  <w:style w:type="character" w:styleId="1061" w:customStyle="1">
    <w:name w:val="Intense Quote Char"/>
    <w:uiPriority w:val="30"/>
    <w:rPr>
      <w:i/>
    </w:rPr>
  </w:style>
  <w:style w:type="paragraph" w:styleId="1062" w:customStyle="1">
    <w:name w:val="ConsPlusNonformat"/>
    <w:uiPriority w:val="99"/>
    <w:qFormat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63" w:customStyle="1">
    <w:name w:val="ConsPlusNormal Знак"/>
    <w:link w:val="850"/>
    <w:qFormat/>
    <w:rPr>
      <w:rFonts w:ascii="Times New Roman" w:hAnsi="Times New Roman" w:eastAsia="Calibri" w:cs="Times New Roman"/>
      <w:sz w:val="20"/>
      <w:szCs w:val="20"/>
    </w:rPr>
  </w:style>
  <w:style w:type="paragraph" w:styleId="1064">
    <w:name w:val="Normal (Web)"/>
    <w:basedOn w:val="712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5" w:customStyle="1">
    <w:name w:val="s_1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66" w:customStyle="1">
    <w:name w:val="Сетка таблицы141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67" w:customStyle="1">
    <w:name w:val="Сетка таблицы6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68" w:customStyle="1">
    <w:name w:val="Сетка таблицы12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69" w:customStyle="1">
    <w:name w:val="Сетка таблицы11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0" w:customStyle="1">
    <w:name w:val="Сетка таблицы2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1" w:customStyle="1">
    <w:name w:val="Сетка таблицы3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2" w:customStyle="1">
    <w:name w:val="Сетка таблицы42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3" w:customStyle="1">
    <w:name w:val="Сетка таблицы411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4" w:customStyle="1">
    <w:name w:val="Сетка таблицы7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5" w:customStyle="1">
    <w:name w:val="Сетка таблицы51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76" w:customStyle="1">
    <w:name w:val="Table Normal2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077" w:customStyle="1">
    <w:name w:val="Госпрограмма1"/>
    <w:uiPriority w:val="99"/>
    <w:pPr>
      <w:numPr>
        <w:numId w:val="5"/>
      </w:numPr>
    </w:pPr>
  </w:style>
  <w:style w:type="table" w:styleId="1078" w:customStyle="1">
    <w:name w:val="Table Normal11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character" w:styleId="1079" w:customStyle="1">
    <w:name w:val="Другое_"/>
    <w:basedOn w:val="722"/>
    <w:link w:val="1080"/>
    <w:rPr>
      <w:rFonts w:ascii="Times New Roman" w:hAnsi="Times New Roman" w:eastAsia="Times New Roman" w:cs="Times New Roman"/>
    </w:rPr>
  </w:style>
  <w:style w:type="paragraph" w:styleId="1080" w:customStyle="1">
    <w:name w:val="Другое"/>
    <w:basedOn w:val="712"/>
    <w:link w:val="1079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numbering" w:styleId="1081" w:customStyle="1">
    <w:name w:val="Нет списка1"/>
    <w:next w:val="724"/>
    <w:uiPriority w:val="99"/>
    <w:semiHidden/>
    <w:unhideWhenUsed/>
  </w:style>
  <w:style w:type="character" w:styleId="1082" w:customStyle="1">
    <w:name w:val="Гиперссылка1"/>
    <w:basedOn w:val="722"/>
    <w:uiPriority w:val="99"/>
    <w:semiHidden/>
    <w:unhideWhenUsed/>
    <w:qFormat/>
    <w:rPr>
      <w:color w:val="0563c1"/>
      <w:u w:val="single"/>
    </w:rPr>
  </w:style>
  <w:style w:type="character" w:styleId="1083" w:customStyle="1">
    <w:name w:val="Просмотренная гиперссылка1"/>
    <w:basedOn w:val="722"/>
    <w:uiPriority w:val="99"/>
    <w:semiHidden/>
    <w:unhideWhenUsed/>
    <w:qFormat/>
    <w:rPr>
      <w:color w:val="954f72"/>
      <w:u w:val="single"/>
    </w:rPr>
  </w:style>
  <w:style w:type="paragraph" w:styleId="1084" w:customStyle="1">
    <w:name w:val="msonormal"/>
    <w:basedOn w:val="712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5" w:customStyle="1">
    <w:name w:val="Название объекта1"/>
    <w:basedOn w:val="712"/>
    <w:next w:val="712"/>
    <w:uiPriority w:val="35"/>
    <w:semiHidden/>
    <w:unhideWhenUsed/>
    <w:qFormat/>
    <w:pPr>
      <w:spacing w:line="276" w:lineRule="auto"/>
    </w:pPr>
    <w:rPr>
      <w:rFonts w:ascii="Calibri" w:hAnsi="Calibri" w:eastAsia="Calibri" w:cs="Times New Roman"/>
      <w:b/>
      <w:bCs/>
      <w:color w:val="4472c4"/>
      <w:sz w:val="18"/>
      <w:szCs w:val="18"/>
    </w:rPr>
  </w:style>
  <w:style w:type="character" w:styleId="1086" w:customStyle="1">
    <w:name w:val="Основной текст + Candara"/>
    <w:basedOn w:val="839"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000000"/>
      <w:spacing w:val="1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table" w:styleId="1087" w:customStyle="1">
    <w:name w:val="Таблица простая 11"/>
    <w:basedOn w:val="723"/>
    <w:next w:val="1106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088" w:customStyle="1">
    <w:name w:val="Таблица простая 21"/>
    <w:basedOn w:val="723"/>
    <w:next w:val="110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bottom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089" w:customStyle="1">
    <w:name w:val="Таблица простая 31"/>
    <w:basedOn w:val="723"/>
    <w:next w:val="110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auto" w:sz="0" w:space="0"/>
          <w:left w:val="none" w:color="auto" w:sz="0" w:space="0"/>
          <w:bottom w:val="single" w:color="404040" w:sz="4" w:space="0"/>
          <w:right w:val="none" w:color="auto" w:sz="0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90" w:customStyle="1">
    <w:name w:val="Таблица простая 41"/>
    <w:basedOn w:val="723"/>
    <w:next w:val="110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 w:customStyle="1">
    <w:name w:val="Таблица простая 51"/>
    <w:basedOn w:val="723"/>
    <w:next w:val="111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auto"/>
        <w:tcBorders>
          <w:left w:val="none" w:color="auto" w:sz="0" w:space="0"/>
          <w:bottom w:val="single" w:color="404040" w:sz="4" w:space="0"/>
          <w:right w:val="none" w:color="auto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auto"/>
        <w:tcBorders>
          <w:top w:val="single" w:color="404040" w:sz="4" w:space="0"/>
          <w:left w:val="none" w:color="auto" w:sz="0" w:space="0"/>
          <w:right w:val="none" w:color="auto" w:sz="0" w:space="0"/>
        </w:tcBorders>
      </w:tcPr>
    </w:tblStylePr>
  </w:style>
  <w:style w:type="table" w:styleId="1092" w:customStyle="1">
    <w:name w:val="Таблица-сетка 1 светлая1"/>
    <w:basedOn w:val="723"/>
    <w:next w:val="111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 w:customStyle="1">
    <w:name w:val="Таблица-сетка 21"/>
    <w:basedOn w:val="723"/>
    <w:next w:val="111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single" w:color="6A6A6A" w:sz="12" w:space="0"/>
          <w:right w:val="none" w:color="auto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auto"/>
        <w:tcBorders>
          <w:top w:val="single" w:color="6A6A6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94" w:customStyle="1">
    <w:name w:val="Таблица-сетка 31"/>
    <w:basedOn w:val="723"/>
    <w:next w:val="111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fir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la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95" w:customStyle="1">
    <w:name w:val="Таблица-сетка 41"/>
    <w:basedOn w:val="723"/>
    <w:next w:val="1114"/>
    <w:uiPriority w:val="5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096" w:customStyle="1">
    <w:name w:val="Таблица-сетка 5 темная1"/>
    <w:basedOn w:val="723"/>
    <w:next w:val="1115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auto" w:fill="bfbfbf"/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1097" w:customStyle="1">
    <w:name w:val="Таблица-сетка 6 цветная1"/>
    <w:basedOn w:val="723"/>
    <w:next w:val="1116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098" w:customStyle="1">
    <w:name w:val="Таблица-сетка 7 цветная1"/>
    <w:basedOn w:val="723"/>
    <w:next w:val="1117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099" w:customStyle="1">
    <w:name w:val="Список-таблица 1 светлая1"/>
    <w:basedOn w:val="723"/>
    <w:next w:val="111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100" w:customStyle="1">
    <w:name w:val="Список-таблица 21"/>
    <w:basedOn w:val="723"/>
    <w:next w:val="111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auto" w:sz="0" w:space="0"/>
          <w:bottom w:val="single" w:color="6F6F6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auto" w:sz="0" w:space="0"/>
          <w:bottom w:val="single" w:color="6F6F6F" w:sz="4" w:space="0"/>
          <w:right w:val="none" w:color="auto" w:sz="0" w:space="0"/>
        </w:tcBorders>
      </w:tcPr>
    </w:tblStylePr>
  </w:style>
  <w:style w:type="table" w:styleId="1101" w:customStyle="1">
    <w:name w:val="Список-таблица 31"/>
    <w:basedOn w:val="723"/>
    <w:next w:val="112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 w:customStyle="1">
    <w:name w:val="Список-таблица 41"/>
    <w:basedOn w:val="723"/>
    <w:next w:val="112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Список-таблица 5 темная1"/>
    <w:basedOn w:val="723"/>
    <w:next w:val="112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36" w:space="0"/>
        <w:left w:val="single" w:color="7F7F7F" w:sz="36" w:space="0"/>
        <w:bottom w:val="single" w:color="7F7F7F" w:sz="36" w:space="0"/>
        <w:right w:val="single" w:color="7F7F7F" w:sz="36" w:space="0"/>
      </w:tblBorders>
      <w:shd w:val="clear" w:color="auto" w:fill="7f7f7f"/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tcBorders>
          <w:left w:val="single" w:color="7F7F7F" w:sz="36" w:space="0"/>
          <w:right w:val="single" w:color="FFFFFF" w:sz="4" w:space="0"/>
        </w:tcBorders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7f7f7f"/>
        <w:tcBorders>
          <w:top w:val="single" w:color="7F7F7F" w:sz="36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6" w:space="0"/>
        </w:tcBorders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</w:tblStylePr>
  </w:style>
  <w:style w:type="table" w:styleId="1104" w:customStyle="1">
    <w:name w:val="Список-таблица 6 цветная1"/>
    <w:basedOn w:val="723"/>
    <w:next w:val="112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hint="default" w:ascii="Arial" w:hAnsi="Arial" w:cs="Arial"/>
        <w:color w:val="000000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000000"/>
        <w:sz w:val="22"/>
        <w:szCs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105" w:customStyle="1">
    <w:name w:val="Список-таблица 7 цветная1"/>
    <w:basedOn w:val="723"/>
    <w:next w:val="112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106" w:customStyle="1">
    <w:name w:val="Таблица простая 12"/>
    <w:basedOn w:val="723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107" w:customStyle="1">
    <w:name w:val="Таблица простая 22"/>
    <w:basedOn w:val="723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08" w:customStyle="1">
    <w:name w:val="Таблица простая 32"/>
    <w:basedOn w:val="723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109" w:customStyle="1">
    <w:name w:val="Таблица простая 42"/>
    <w:basedOn w:val="723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10" w:customStyle="1">
    <w:name w:val="Таблица простая 52"/>
    <w:basedOn w:val="723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111" w:customStyle="1">
    <w:name w:val="Таблица-сетка 1 светлая2"/>
    <w:basedOn w:val="723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112" w:customStyle="1">
    <w:name w:val="Таблица-сетка 2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113" w:customStyle="1">
    <w:name w:val="Таблица-сетка 32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14" w:customStyle="1">
    <w:name w:val="Таблица-сетка 42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15" w:customStyle="1">
    <w:name w:val="Таблица-сетка 5 темная2"/>
    <w:basedOn w:val="723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  <w:insideV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  <w:insideV w:val="none" w:color="000000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116" w:customStyle="1">
    <w:name w:val="Таблица-сетка 6 цветная2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17" w:customStyle="1">
    <w:name w:val="Таблица-сетка 7 цветная2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18" w:customStyle="1">
    <w:name w:val="Список-таблица 1 светлая2"/>
    <w:basedOn w:val="723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19" w:customStyle="1">
    <w:name w:val="Список-таблица 2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20" w:customStyle="1">
    <w:name w:val="Список-таблица 32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  <w:insideH w:val="non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121" w:customStyle="1">
    <w:name w:val="Список-таблица 42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22" w:customStyle="1">
    <w:name w:val="Список-таблица 5 темная2"/>
    <w:basedOn w:val="723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123" w:customStyle="1">
    <w:name w:val="Список-таблица 6 цветная2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24" w:customStyle="1">
    <w:name w:val="Список-таблица 7 цветная2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paragraph" w:styleId="1125" w:customStyle="1">
    <w:name w:val="Основной текст3"/>
    <w:basedOn w:val="712"/>
    <w:uiPriority w:val="99"/>
    <w:qFormat/>
    <w:pPr>
      <w:spacing w:after="60" w:line="0" w:lineRule="atLeast"/>
      <w:shd w:val="clear" w:color="auto" w:fill="ffffff"/>
      <w:widowControl w:val="off"/>
    </w:pPr>
    <w:rPr>
      <w:rFonts w:ascii="Times New Roman" w:hAnsi="Times New Roman" w:eastAsia="Times New Roman" w:cs="Times New Roman"/>
      <w:color w:val="000000"/>
      <w:spacing w:val="2"/>
      <w:sz w:val="20"/>
      <w:szCs w:val="20"/>
      <w:lang w:eastAsia="ru-RU" w:bidi="ru-RU"/>
    </w:rPr>
  </w:style>
  <w:style w:type="character" w:styleId="1126" w:customStyle="1">
    <w:name w:val="Заголовок №1_"/>
    <w:basedOn w:val="722"/>
    <w:link w:val="1129"/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1127" w:customStyle="1">
    <w:name w:val="Заголовок №2_"/>
    <w:basedOn w:val="722"/>
    <w:link w:val="1130"/>
    <w:rPr>
      <w:rFonts w:ascii="Times New Roman" w:hAnsi="Times New Roman" w:eastAsia="Times New Roman" w:cs="Times New Roman"/>
      <w:sz w:val="26"/>
      <w:szCs w:val="26"/>
    </w:rPr>
  </w:style>
  <w:style w:type="character" w:styleId="1128" w:customStyle="1">
    <w:name w:val="Подпись к таблице_"/>
    <w:basedOn w:val="722"/>
    <w:link w:val="1131"/>
    <w:rPr>
      <w:rFonts w:ascii="Times New Roman" w:hAnsi="Times New Roman" w:eastAsia="Times New Roman" w:cs="Times New Roman"/>
    </w:rPr>
  </w:style>
  <w:style w:type="paragraph" w:styleId="1129" w:customStyle="1">
    <w:name w:val="Заголовок №1"/>
    <w:basedOn w:val="712"/>
    <w:link w:val="1126"/>
    <w:qFormat/>
    <w:pPr>
      <w:jc w:val="center"/>
      <w:spacing w:after="60" w:line="348" w:lineRule="auto"/>
      <w:widowControl w:val="o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1130" w:customStyle="1">
    <w:name w:val="Заголовок №2"/>
    <w:basedOn w:val="712"/>
    <w:link w:val="1127"/>
    <w:qFormat/>
    <w:pPr>
      <w:jc w:val="center"/>
      <w:spacing w:after="140" w:line="240" w:lineRule="auto"/>
      <w:widowControl w:val="off"/>
      <w:outlineLvl w:val="1"/>
    </w:pPr>
    <w:rPr>
      <w:rFonts w:ascii="Times New Roman" w:hAnsi="Times New Roman" w:eastAsia="Times New Roman" w:cs="Times New Roman"/>
      <w:sz w:val="26"/>
      <w:szCs w:val="26"/>
    </w:rPr>
  </w:style>
  <w:style w:type="paragraph" w:styleId="1131" w:customStyle="1">
    <w:name w:val="Подпись к таблице"/>
    <w:basedOn w:val="712"/>
    <w:link w:val="1128"/>
    <w:qFormat/>
    <w:pPr>
      <w:jc w:val="center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1132" w:customStyle="1">
    <w:name w:val="Рецензия1"/>
    <w:uiPriority w:val="99"/>
    <w:semiHidden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133" w:customStyle="1">
    <w:name w:val="Заголовок оглавления1"/>
    <w:uiPriority w:val="39"/>
    <w:semiHidden/>
    <w:unhideWhenUsed/>
    <w:qFormat/>
    <w:pPr>
      <w:spacing w:line="256" w:lineRule="auto"/>
    </w:pPr>
    <w:rPr>
      <w:rFonts w:ascii="Calibri" w:hAnsi="Calibri" w:eastAsia="Calibri" w:cs="Times New Roman"/>
    </w:rPr>
  </w:style>
  <w:style w:type="table" w:styleId="1134" w:customStyle="1">
    <w:name w:val="Сетка таблицы142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5" w:customStyle="1">
    <w:name w:val="Сетка таблицы7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6" w:customStyle="1">
    <w:name w:val="Сетка таблицы13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7" w:customStyle="1">
    <w:name w:val="Сетка таблицы112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8" w:customStyle="1">
    <w:name w:val="Сетка таблицы22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39" w:customStyle="1">
    <w:name w:val="Сетка таблицы32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0" w:customStyle="1">
    <w:name w:val="Сетка таблицы43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1" w:customStyle="1">
    <w:name w:val="Сетка таблицы412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2" w:customStyle="1">
    <w:name w:val="TableGrid1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3" w:customStyle="1">
    <w:name w:val="Сетка таблицы52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44" w:customStyle="1">
    <w:name w:val="Table Normal3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145" w:customStyle="1">
    <w:name w:val="Госпрограмма2"/>
    <w:uiPriority w:val="99"/>
    <w:pPr>
      <w:numPr>
        <w:numId w:val="2"/>
      </w:numPr>
    </w:pPr>
  </w:style>
  <w:style w:type="table" w:styleId="1146" w:customStyle="1">
    <w:name w:val="Table Normal12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147" w:customStyle="1">
    <w:name w:val="Таблица простая 121"/>
    <w:basedOn w:val="723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148" w:customStyle="1">
    <w:name w:val="Таблица простая 221"/>
    <w:basedOn w:val="723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149" w:customStyle="1">
    <w:name w:val="Таблица простая 321"/>
    <w:basedOn w:val="723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150" w:customStyle="1">
    <w:name w:val="Таблица простая 421"/>
    <w:basedOn w:val="723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51" w:customStyle="1">
    <w:name w:val="Таблица простая 521"/>
    <w:basedOn w:val="723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152" w:customStyle="1">
    <w:name w:val="Таблица-сетка 1 светлая21"/>
    <w:basedOn w:val="723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153" w:customStyle="1">
    <w:name w:val="Таблица-сетка 221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154" w:customStyle="1">
    <w:name w:val="Таблица-сетка 321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55" w:customStyle="1">
    <w:name w:val="Таблица-сетка 421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56" w:customStyle="1">
    <w:name w:val="Таблица-сетка 5 темная21"/>
    <w:basedOn w:val="723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  <w:insideV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  <w:insideV w:val="none" w:color="000000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157" w:customStyle="1">
    <w:name w:val="Таблица-сетка 6 цветная21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58" w:customStyle="1">
    <w:name w:val="Таблица-сетка 7 цветная21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159" w:customStyle="1">
    <w:name w:val="Список-таблица 1 светлая21"/>
    <w:basedOn w:val="723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60" w:customStyle="1">
    <w:name w:val="Список-таблица 221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161" w:customStyle="1">
    <w:name w:val="Список-таблица 321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  <w:insideH w:val="non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162" w:customStyle="1">
    <w:name w:val="Список-таблица 421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163" w:customStyle="1">
    <w:name w:val="Список-таблица 5 темная21"/>
    <w:basedOn w:val="723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164" w:customStyle="1">
    <w:name w:val="Список-таблица 6 цветная21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165" w:customStyle="1">
    <w:name w:val="Список-таблица 7 цветная21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numbering" w:styleId="1166" w:customStyle="1">
    <w:name w:val="Нет списка2"/>
    <w:next w:val="724"/>
    <w:uiPriority w:val="99"/>
    <w:semiHidden/>
    <w:unhideWhenUsed/>
  </w:style>
  <w:style w:type="table" w:styleId="1167" w:customStyle="1">
    <w:name w:val="Сетка таблицы143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8" w:customStyle="1">
    <w:name w:val="Сетка таблицы8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69" w:customStyle="1">
    <w:name w:val="Сетка таблицы15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0" w:customStyle="1">
    <w:name w:val="Сетка таблицы113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1" w:customStyle="1">
    <w:name w:val="Сетка таблицы23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2" w:customStyle="1">
    <w:name w:val="Сетка таблицы33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3" w:customStyle="1">
    <w:name w:val="Сетка таблицы44"/>
    <w:basedOn w:val="723"/>
    <w:next w:val="842"/>
    <w:uiPriority w:val="39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4" w:customStyle="1">
    <w:name w:val="Сетка таблицы413"/>
    <w:basedOn w:val="723"/>
    <w:next w:val="84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5" w:customStyle="1">
    <w:name w:val="TableGrid2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6" w:customStyle="1">
    <w:name w:val="Сетка таблицы светлая11"/>
    <w:basedOn w:val="723"/>
    <w:uiPriority w:val="40"/>
    <w:pPr>
      <w:ind w:firstLine="851"/>
      <w:spacing w:after="0" w:line="240" w:lineRule="auto"/>
    </w:pPr>
    <w:rPr>
      <w:rFonts w:ascii="Times New Roman" w:hAnsi="Times New Roman"/>
      <w:sz w:val="28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1177" w:customStyle="1">
    <w:name w:val="Сетка таблицы53"/>
    <w:basedOn w:val="72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8" w:customStyle="1">
    <w:name w:val="Table Normal4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179" w:customStyle="1">
    <w:name w:val="Госпрограмма3"/>
    <w:uiPriority w:val="99"/>
    <w:pPr>
      <w:numPr>
        <w:numId w:val="3"/>
      </w:numPr>
    </w:pPr>
  </w:style>
  <w:style w:type="table" w:styleId="1180" w:customStyle="1">
    <w:name w:val="Table Grid Light1"/>
    <w:basedOn w:val="723"/>
    <w:uiPriority w:val="59"/>
    <w:pPr>
      <w:spacing w:after="0" w:line="240" w:lineRule="auto"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1181" w:customStyle="1">
    <w:name w:val="Таблица простая 13"/>
    <w:basedOn w:val="723"/>
    <w:next w:val="914"/>
    <w:uiPriority w:val="59"/>
    <w:pPr>
      <w:spacing w:after="0" w:line="240" w:lineRule="auto"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82" w:customStyle="1">
    <w:name w:val="Таблица простая 23"/>
    <w:basedOn w:val="723"/>
    <w:next w:val="915"/>
    <w:uiPriority w:val="59"/>
    <w:pPr>
      <w:spacing w:after="0" w:line="240" w:lineRule="auto"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83" w:customStyle="1">
    <w:name w:val="Таблица простая 33"/>
    <w:basedOn w:val="723"/>
    <w:next w:val="91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84" w:customStyle="1">
    <w:name w:val="Таблица простая 43"/>
    <w:basedOn w:val="723"/>
    <w:next w:val="9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5" w:customStyle="1">
    <w:name w:val="Таблица простая 53"/>
    <w:basedOn w:val="723"/>
    <w:next w:val="9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86" w:customStyle="1">
    <w:name w:val="Таблица-сетка 1 светлая3"/>
    <w:basedOn w:val="723"/>
    <w:next w:val="9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7" w:customStyle="1">
    <w:name w:val="Grid Table 1 Light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8" w:customStyle="1">
    <w:name w:val="Grid Table 1 Light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9" w:customStyle="1">
    <w:name w:val="Grid Table 1 Light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0" w:customStyle="1">
    <w:name w:val="Grid Table 1 Light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1" w:customStyle="1">
    <w:name w:val="Grid Table 1 Light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2" w:customStyle="1">
    <w:name w:val="Grid Table 1 Light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3" w:customStyle="1">
    <w:name w:val="Таблица-сетка 23"/>
    <w:basedOn w:val="723"/>
    <w:next w:val="92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 w:customStyle="1">
    <w:name w:val="Grid Table 2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sz="4" w:space="0"/>
        <w:insideH w:val="single" w:color="537DC8" w:sz="4" w:space="0"/>
        <w:insideV w:val="single" w:color="537DC8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 w:customStyle="1">
    <w:name w:val="Grid Table 2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6" w:customStyle="1">
    <w:name w:val="Grid Table 2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7" w:customStyle="1">
    <w:name w:val="Grid Table 2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8" w:customStyle="1">
    <w:name w:val="Grid Table 2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9" w:customStyle="1">
    <w:name w:val="Grid Table 2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0" w:customStyle="1">
    <w:name w:val="Таблица-сетка 33"/>
    <w:basedOn w:val="723"/>
    <w:next w:val="9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1" w:customStyle="1">
    <w:name w:val="Grid Table 3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sz="4" w:space="0"/>
        <w:insideH w:val="single" w:color="537DC8" w:sz="4" w:space="0"/>
        <w:insideV w:val="single" w:color="537DC8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2" w:customStyle="1">
    <w:name w:val="Grid Table 3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3" w:customStyle="1">
    <w:name w:val="Grid Table 3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4" w:customStyle="1">
    <w:name w:val="Grid Table 3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5" w:customStyle="1">
    <w:name w:val="Grid Table 3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6" w:customStyle="1">
    <w:name w:val="Grid Table 3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07" w:customStyle="1">
    <w:name w:val="Таблица-сетка 43"/>
    <w:basedOn w:val="723"/>
    <w:next w:val="9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208" w:customStyle="1">
    <w:name w:val="Grid Table 4 - Accent 1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  <w:insideV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fill="dae3f3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fill="dae3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fill="537dc8"/>
        <w:tcBorders>
          <w:top w:val="single" w:color="537DC8" w:sz="4" w:space="0"/>
          <w:left w:val="single" w:color="537DC8" w:sz="4" w:space="0"/>
          <w:bottom w:val="single" w:color="537DC8" w:sz="4" w:space="0"/>
          <w:right w:val="single" w:color="537DC8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sz="4" w:space="0"/>
        </w:tcBorders>
      </w:tcPr>
    </w:tblStylePr>
  </w:style>
  <w:style w:type="table" w:styleId="1209" w:customStyle="1">
    <w:name w:val="Grid Table 4 - Accent 2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  <w:insideV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  <w:tcBorders>
          <w:top w:val="single" w:color="F4B184" w:sz="4" w:space="0"/>
          <w:left w:val="single" w:color="F4B184" w:sz="4" w:space="0"/>
          <w:bottom w:val="single" w:color="F4B184" w:sz="4" w:space="0"/>
          <w:right w:val="single" w:color="F4B18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/>
        </w:tcBorders>
      </w:tcPr>
    </w:tblStylePr>
  </w:style>
  <w:style w:type="table" w:styleId="1210" w:customStyle="1">
    <w:name w:val="Grid Table 4 - Accent 3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  <w:insideV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</w:tcBorders>
      </w:tcPr>
    </w:tblStylePr>
  </w:style>
  <w:style w:type="table" w:styleId="1211" w:customStyle="1">
    <w:name w:val="Grid Table 4 - Accent 4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  <w:insideV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  <w:tcBorders>
          <w:top w:val="single" w:color="FFD865" w:sz="4" w:space="0"/>
          <w:left w:val="single" w:color="FFD865" w:sz="4" w:space="0"/>
          <w:bottom w:val="single" w:color="FFD865" w:sz="4" w:space="0"/>
          <w:right w:val="single" w:color="FFD86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/>
        </w:tcBorders>
      </w:tcPr>
    </w:tblStylePr>
  </w:style>
  <w:style w:type="table" w:styleId="1212" w:customStyle="1">
    <w:name w:val="Grid Table 4 - Accent 5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  <w:insideV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/>
        </w:tcBorders>
      </w:tcPr>
    </w:tblStylePr>
  </w:style>
  <w:style w:type="table" w:styleId="1213" w:customStyle="1">
    <w:name w:val="Grid Table 4 - Accent 61"/>
    <w:basedOn w:val="7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</w:tcBorders>
      </w:tcPr>
    </w:tblStylePr>
  </w:style>
  <w:style w:type="table" w:styleId="1214" w:customStyle="1">
    <w:name w:val="Таблица-сетка 5 темная3"/>
    <w:basedOn w:val="723"/>
    <w:next w:val="9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215" w:customStyle="1">
    <w:name w:val="Grid Table 5 Dark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8e2f3" w:fill="d8e2f3"/>
    </w:tblPr>
    <w:tblStylePr w:type="band1Horz">
      <w:tcPr>
        <w:shd w:val="clear" w:color="a9bee4" w:fill="a9bee4"/>
      </w:tcPr>
    </w:tblStylePr>
    <w:tblStylePr w:type="band1Vert">
      <w:tcPr>
        <w:shd w:val="clear" w:color="a9bee4" w:fill="a9be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4472c4"/>
        <w:tcBorders>
          <w:top w:val="single" w:color="FFFFFF" w:sz="4" w:space="0"/>
        </w:tcBorders>
      </w:tcPr>
    </w:tblStylePr>
  </w:style>
  <w:style w:type="table" w:styleId="1216" w:customStyle="1">
    <w:name w:val="Grid Table 5 Dark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be5d6" w:fill="fbe5d6"/>
    </w:tblPr>
    <w:tblStylePr w:type="band1Horz">
      <w:tcPr>
        <w:shd w:val="clear" w:color="f6c3a0" w:fill="f6c3a0"/>
      </w:tcPr>
    </w:tblStylePr>
    <w:tblStylePr w:type="band1Vert">
      <w:tcPr>
        <w:shd w:val="clear" w:color="f6c3a0" w:fill="f6c3a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ed7d31"/>
        <w:tcBorders>
          <w:top w:val="single" w:color="FFFFFF" w:sz="4" w:space="0"/>
        </w:tcBorders>
      </w:tcPr>
    </w:tblStylePr>
  </w:style>
  <w:style w:type="table" w:styleId="1217" w:customStyle="1">
    <w:name w:val="Grid Table 5 Dark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cecec" w:fill="ececec"/>
    </w:tblPr>
    <w:tblStylePr w:type="band1Horz">
      <w:tcPr>
        <w:shd w:val="clear" w:color="d5d5d5" w:fill="d5d5d5"/>
      </w:tcPr>
    </w:tblStylePr>
    <w:tblStylePr w:type="band1Vert">
      <w:tcPr>
        <w:shd w:val="clear" w:color="d5d5d5" w:fill="d5d5d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5a5a5"/>
        <w:tcBorders>
          <w:top w:val="single" w:color="FFFFFF" w:sz="4" w:space="0"/>
        </w:tcBorders>
      </w:tcPr>
    </w:tblStylePr>
  </w:style>
  <w:style w:type="table" w:styleId="1218" w:customStyle="1">
    <w:name w:val="Grid Table 5 Dark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ff2cb" w:fill="fff2cb"/>
    </w:tblPr>
    <w:tblStylePr w:type="band1Horz">
      <w:tcPr>
        <w:shd w:val="clear" w:color="ffe28a" w:fill="ffe28a"/>
      </w:tcPr>
    </w:tblStylePr>
    <w:tblStylePr w:type="band1Vert">
      <w:tcPr>
        <w:shd w:val="clear" w:color="ffe28a" w:fill="ffe2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ffc000"/>
        <w:tcBorders>
          <w:top w:val="single" w:color="FFFFFF" w:sz="4" w:space="0"/>
        </w:tcBorders>
      </w:tcPr>
    </w:tblStylePr>
  </w:style>
  <w:style w:type="table" w:styleId="1219" w:customStyle="1">
    <w:name w:val="Grid Table 5 Dark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deaf6" w:fill="ddeaf6"/>
    </w:tblPr>
    <w:tblStylePr w:type="band1Horz">
      <w:tcPr>
        <w:shd w:val="clear" w:color="b3d0eb" w:fill="b3d0eb"/>
      </w:tcPr>
    </w:tblStylePr>
    <w:tblStylePr w:type="band1Vert">
      <w:tcPr>
        <w:shd w:val="clear" w:color="b3d0eb" w:fill="b3d0eb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5b9bd5"/>
        <w:tcBorders>
          <w:top w:val="single" w:color="FFFFFF" w:sz="4" w:space="0"/>
        </w:tcBorders>
      </w:tcPr>
    </w:tblStylePr>
  </w:style>
  <w:style w:type="table" w:styleId="1220" w:customStyle="1">
    <w:name w:val="Grid Table 5 Dark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1efd8" w:fill="e1efd8"/>
    </w:tblPr>
    <w:tblStylePr w:type="band1Horz">
      <w:tcPr>
        <w:shd w:val="clear" w:color="bcdba8" w:fill="bcdba8"/>
      </w:tcPr>
    </w:tblStylePr>
    <w:tblStylePr w:type="band1Vert">
      <w:tcPr>
        <w:shd w:val="clear" w:color="bcdba8" w:fill="bcdba8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70ad47"/>
        <w:tcBorders>
          <w:top w:val="single" w:color="FFFFFF" w:sz="4" w:space="0"/>
        </w:tcBorders>
      </w:tcPr>
    </w:tblStylePr>
  </w:style>
  <w:style w:type="table" w:styleId="1221" w:customStyle="1">
    <w:name w:val="Таблица-сетка 6 цветная3"/>
    <w:basedOn w:val="723"/>
    <w:next w:val="9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222" w:customStyle="1">
    <w:name w:val="Grid Table 6 Colorful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sz="4" w:space="0"/>
        <w:left w:val="single" w:color="A0B7E1" w:sz="4" w:space="0"/>
        <w:bottom w:val="single" w:color="A0B7E1" w:sz="4" w:space="0"/>
        <w:right w:val="single" w:color="A0B7E1" w:sz="4" w:space="0"/>
        <w:insideH w:val="single" w:color="A0B7E1" w:sz="4" w:space="0"/>
        <w:insideV w:val="single" w:color="A0B7E1" w:sz="4" w:space="0"/>
      </w:tblBorders>
    </w:tblPr>
    <w:tblStylePr w:type="band1Horz">
      <w:rPr>
        <w:rFonts w:ascii="Arial" w:hAnsi="Arial"/>
        <w:color w:val="a0b7e1"/>
        <w:sz w:val="22"/>
      </w:rPr>
      <w:tcPr>
        <w:shd w:val="clear" w:color="d8e2f3" w:fill="d8e2f3"/>
      </w:tcPr>
    </w:tblStylePr>
    <w:tblStylePr w:type="band1Vert"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  <w:tblStylePr w:type="firstCol">
      <w:rPr>
        <w:b/>
        <w:color w:val="a0b7e1"/>
      </w:rPr>
    </w:tblStylePr>
    <w:tblStylePr w:type="firstRow">
      <w:rPr>
        <w:b/>
        <w:color w:val="a0b7e1"/>
      </w:rPr>
      <w:tcPr>
        <w:tcBorders>
          <w:bottom w:val="single" w:color="A0B7E1" w:sz="12" w:space="0"/>
        </w:tcBorders>
      </w:tcPr>
    </w:tblStylePr>
    <w:tblStylePr w:type="lastCol">
      <w:rPr>
        <w:b/>
        <w:color w:val="a0b7e1"/>
      </w:rPr>
    </w:tblStylePr>
    <w:tblStylePr w:type="lastRow">
      <w:rPr>
        <w:b/>
        <w:color w:val="a0b7e1"/>
      </w:rPr>
    </w:tblStylePr>
  </w:style>
  <w:style w:type="table" w:styleId="1223" w:customStyle="1">
    <w:name w:val="Grid Table 6 Colorful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be5d6" w:fill="fbe5d6"/>
      </w:tcPr>
    </w:tblStylePr>
    <w:tblStylePr w:type="band1Vert"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12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</w:tblStylePr>
  </w:style>
  <w:style w:type="table" w:styleId="1224" w:customStyle="1">
    <w:name w:val="Grid Table 6 Colorful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sz="4" w:space="0"/>
        <w:left w:val="single" w:color="A5A5A5" w:sz="4" w:space="0"/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a5a5a5"/>
        <w:sz w:val="22"/>
      </w:rPr>
      <w:tcPr>
        <w:shd w:val="clear" w:color="ececec" w:fill="ececec"/>
      </w:tcPr>
    </w:tblStylePr>
    <w:tblStylePr w:type="band1Vert"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  <w:tblStylePr w:type="firstCol">
      <w:rPr>
        <w:b/>
        <w:color w:val="a5a5a5"/>
      </w:rPr>
    </w:tblStylePr>
    <w:tblStylePr w:type="firstRow">
      <w:rPr>
        <w:b/>
        <w:color w:val="a5a5a5"/>
      </w:rPr>
      <w:tcPr>
        <w:tcBorders>
          <w:bottom w:val="single" w:color="A5A5A5" w:sz="12" w:space="0"/>
        </w:tcBorders>
      </w:tcPr>
    </w:tblStylePr>
    <w:tblStylePr w:type="lastCol">
      <w:rPr>
        <w:b/>
        <w:color w:val="a5a5a5"/>
      </w:rPr>
    </w:tblStylePr>
    <w:tblStylePr w:type="lastRow">
      <w:rPr>
        <w:b/>
        <w:color w:val="a5a5a5"/>
      </w:rPr>
    </w:tblStylePr>
  </w:style>
  <w:style w:type="table" w:styleId="1225" w:customStyle="1">
    <w:name w:val="Grid Table 6 Colorful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f2cb" w:fill="fff2cb"/>
      </w:tcPr>
    </w:tblStylePr>
    <w:tblStylePr w:type="band1Vert"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12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</w:tblStylePr>
  </w:style>
  <w:style w:type="table" w:styleId="1226" w:customStyle="1">
    <w:name w:val="Grid Table 6 Colorful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sz="4" w:space="0"/>
        <w:left w:val="single" w:color="5B9BD5" w:sz="4" w:space="0"/>
        <w:bottom w:val="single" w:color="5B9BD5" w:sz="4" w:space="0"/>
        <w:right w:val="single" w:color="5B9BD5" w:sz="4" w:space="0"/>
        <w:insideH w:val="single" w:color="5B9BD5" w:sz="4" w:space="0"/>
        <w:insideV w:val="single" w:color="5B9BD5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ddeaf6" w:fill="ddeaf6"/>
      </w:tcPr>
    </w:tblStylePr>
    <w:tblStylePr w:type="band1Vert"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b/>
        <w:color w:val="245a8d"/>
      </w:rPr>
    </w:tblStylePr>
    <w:tblStylePr w:type="firstRow">
      <w:rPr>
        <w:b/>
        <w:color w:val="245a8d"/>
      </w:rPr>
      <w:tcPr>
        <w:tcBorders>
          <w:bottom w:val="single" w:color="5B9BD5" w:sz="12" w:space="0"/>
        </w:tcBorders>
      </w:tcPr>
    </w:tblStylePr>
    <w:tblStylePr w:type="lastCol">
      <w:rPr>
        <w:b/>
        <w:color w:val="245a8d"/>
      </w:rPr>
    </w:tblStylePr>
    <w:tblStylePr w:type="lastRow">
      <w:rPr>
        <w:b/>
        <w:color w:val="245a8d"/>
      </w:rPr>
    </w:tblStylePr>
  </w:style>
  <w:style w:type="table" w:styleId="1227" w:customStyle="1">
    <w:name w:val="Grid Table 6 Colorful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sz="4" w:space="0"/>
        <w:left w:val="single" w:color="70AD47" w:sz="4" w:space="0"/>
        <w:bottom w:val="single" w:color="70AD47" w:sz="4" w:space="0"/>
        <w:right w:val="single" w:color="70AD47" w:sz="4" w:space="0"/>
        <w:insideH w:val="single" w:color="70AD47" w:sz="4" w:space="0"/>
        <w:insideV w:val="single" w:color="70AD47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e1efd8" w:fill="e1efd8"/>
      </w:tcPr>
    </w:tblStylePr>
    <w:tblStylePr w:type="band1Vert">
      <w:tcPr>
        <w:shd w:val="clear" w:color="e1efd8" w:fill="e1efd8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b/>
        <w:color w:val="245a8d"/>
      </w:rPr>
    </w:tblStylePr>
    <w:tblStylePr w:type="firstRow">
      <w:rPr>
        <w:b/>
        <w:color w:val="245a8d"/>
      </w:rPr>
      <w:tcPr>
        <w:tcBorders>
          <w:bottom w:val="single" w:color="70AD47" w:sz="12" w:space="0"/>
        </w:tcBorders>
      </w:tcPr>
    </w:tblStylePr>
    <w:tblStylePr w:type="lastCol">
      <w:rPr>
        <w:b/>
        <w:color w:val="245a8d"/>
      </w:rPr>
    </w:tblStylePr>
    <w:tblStylePr w:type="lastRow">
      <w:rPr>
        <w:b/>
        <w:color w:val="245a8d"/>
      </w:rPr>
    </w:tblStylePr>
  </w:style>
  <w:style w:type="table" w:styleId="1228" w:customStyle="1">
    <w:name w:val="Таблица-сетка 7 цветная3"/>
    <w:basedOn w:val="723"/>
    <w:next w:val="96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29" w:customStyle="1">
    <w:name w:val="Grid Table 7 Colorful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sz="4" w:space="0"/>
        <w:right w:val="single" w:color="A0B7E1" w:sz="4" w:space="0"/>
        <w:insideH w:val="single" w:color="A0B7E1" w:sz="4" w:space="0"/>
        <w:insideV w:val="single" w:color="A0B7E1" w:sz="4" w:space="0"/>
      </w:tblBorders>
    </w:tblPr>
    <w:tblStylePr w:type="band1Horz">
      <w:rPr>
        <w:rFonts w:ascii="Arial" w:hAnsi="Arial"/>
        <w:color w:val="a0b7e1"/>
        <w:sz w:val="22"/>
      </w:rPr>
      <w:tcPr>
        <w:shd w:val="clear" w:color="d8e2f3" w:fill="d8e2f3"/>
      </w:tcPr>
    </w:tblStylePr>
    <w:tblStylePr w:type="band1Vert">
      <w:tcPr>
        <w:shd w:val="clear" w:color="d8e2f3" w:fill="d8e2f3"/>
      </w:tcPr>
    </w:tblStylePr>
    <w:tblStylePr w:type="band2Horz">
      <w:rPr>
        <w:rFonts w:ascii="Arial" w:hAnsi="Arial"/>
        <w:color w:val="a0b7e1"/>
        <w:sz w:val="22"/>
      </w:rPr>
    </w:tblStylePr>
    <w:tblStylePr w:type="firstCol">
      <w:rPr>
        <w:rFonts w:ascii="Arial" w:hAnsi="Arial"/>
        <w:i/>
        <w:color w:val="a0b7e1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0B7E1" w:sz="4" w:space="0"/>
        </w:tcBorders>
      </w:tcPr>
    </w:tblStylePr>
    <w:tblStylePr w:type="firstRow">
      <w:rPr>
        <w:rFonts w:ascii="Arial" w:hAnsi="Arial"/>
        <w:b/>
        <w:color w:val="a0b7e1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A0B7E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0b7e1"/>
        <w:sz w:val="22"/>
      </w:rPr>
      <w:tcPr>
        <w:shd w:val="clear" w:color="ffffff" w:fill="auto"/>
        <w:tcBorders>
          <w:top w:val="none" w:color="auto" w:sz="0" w:space="0"/>
          <w:left w:val="single" w:color="A0B7E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0b7e1"/>
        <w:sz w:val="22"/>
      </w:rPr>
      <w:tcPr>
        <w:shd w:val="clear" w:color="ffffff" w:fill="ffffff"/>
        <w:tcBorders>
          <w:top w:val="single" w:color="A0B7E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0" w:customStyle="1">
    <w:name w:val="Grid Table 7 Colorful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sz="4" w:space="0"/>
        <w:right w:val="single" w:color="F4B184" w:sz="4" w:space="0"/>
        <w:insideH w:val="single" w:color="F4B184" w:sz="4" w:space="0"/>
        <w:insideV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be5d6" w:fill="fbe5d6"/>
      </w:tcPr>
    </w:tblStylePr>
    <w:tblStylePr w:type="band1Vert"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rFonts w:ascii="Arial" w:hAnsi="Arial"/>
        <w:i/>
        <w:color w:val="f4b184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sz="4" w:space="0"/>
        </w:tcBorders>
      </w:tcPr>
    </w:tblStylePr>
    <w:tblStylePr w:type="firstRow">
      <w:rPr>
        <w:rFonts w:ascii="Arial" w:hAnsi="Arial"/>
        <w:b/>
        <w:color w:val="f4b184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F4B184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/>
        <w:sz w:val="22"/>
      </w:rPr>
      <w:tcPr>
        <w:shd w:val="clear" w:color="ffffff" w:fill="auto"/>
        <w:tcBorders>
          <w:top w:val="none" w:color="auto" w:sz="0" w:space="0"/>
          <w:left w:val="single" w:color="F4B184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/>
        <w:sz w:val="22"/>
      </w:rPr>
      <w:tcPr>
        <w:shd w:val="clear" w:color="ffffff" w:fill="ffffff"/>
        <w:tcBorders>
          <w:top w:val="single" w:color="F4B184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1" w:customStyle="1">
    <w:name w:val="Grid Table 7 Colorful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sz="4" w:space="0"/>
        <w:right w:val="single" w:color="A5A5A5" w:sz="4" w:space="0"/>
        <w:insideH w:val="single" w:color="A5A5A5" w:sz="4" w:space="0"/>
        <w:insideV w:val="single" w:color="A5A5A5" w:sz="4" w:space="0"/>
      </w:tblBorders>
    </w:tblPr>
    <w:tblStylePr w:type="band1Horz">
      <w:rPr>
        <w:rFonts w:ascii="Arial" w:hAnsi="Arial"/>
        <w:color w:val="a5a5a5"/>
        <w:sz w:val="22"/>
      </w:rPr>
      <w:tcPr>
        <w:shd w:val="clear" w:color="ececec" w:fill="ececec"/>
      </w:tcPr>
    </w:tblStylePr>
    <w:tblStylePr w:type="band1Vert"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  <w:tblStylePr w:type="firstCol">
      <w:rPr>
        <w:rFonts w:ascii="Arial" w:hAnsi="Arial"/>
        <w:i/>
        <w:color w:val="a5a5a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sz="4" w:space="0"/>
        </w:tcBorders>
      </w:tcPr>
    </w:tblStylePr>
    <w:tblStylePr w:type="firstRow">
      <w:rPr>
        <w:rFonts w:ascii="Arial" w:hAnsi="Arial"/>
        <w:b/>
        <w:color w:val="a5a5a5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A5A5A5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/>
        <w:sz w:val="22"/>
      </w:rPr>
      <w:tcPr>
        <w:shd w:val="clear" w:color="ffffff" w:fill="auto"/>
        <w:tcBorders>
          <w:top w:val="none" w:color="auto" w:sz="0" w:space="0"/>
          <w:left w:val="single" w:color="A5A5A5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/>
        <w:sz w:val="22"/>
      </w:rPr>
      <w:tcPr>
        <w:shd w:val="clear" w:color="ffffff" w:fill="ffffff"/>
        <w:tcBorders>
          <w:top w:val="single" w:color="A5A5A5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2" w:customStyle="1">
    <w:name w:val="Grid Table 7 Colorful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sz="4" w:space="0"/>
        <w:right w:val="single" w:color="FFD865" w:sz="4" w:space="0"/>
        <w:insideH w:val="single" w:color="FFD865" w:sz="4" w:space="0"/>
        <w:insideV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f2cb" w:fill="fff2cb"/>
      </w:tcPr>
    </w:tblStylePr>
    <w:tblStylePr w:type="band1Vert"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rFonts w:ascii="Arial" w:hAnsi="Arial"/>
        <w:i/>
        <w:color w:val="ffd86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sz="4" w:space="0"/>
        </w:tcBorders>
      </w:tcPr>
    </w:tblStylePr>
    <w:tblStylePr w:type="firstRow">
      <w:rPr>
        <w:rFonts w:ascii="Arial" w:hAnsi="Arial"/>
        <w:b/>
        <w:color w:val="ffd865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FFD865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/>
        <w:sz w:val="22"/>
      </w:rPr>
      <w:tcPr>
        <w:shd w:val="clear" w:color="ffffff" w:fill="auto"/>
        <w:tcBorders>
          <w:top w:val="none" w:color="auto" w:sz="0" w:space="0"/>
          <w:left w:val="single" w:color="FFD865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/>
        <w:sz w:val="22"/>
      </w:rPr>
      <w:tcPr>
        <w:shd w:val="clear" w:color="ffffff" w:fill="ffffff"/>
        <w:tcBorders>
          <w:top w:val="single" w:color="FFD865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3" w:customStyle="1">
    <w:name w:val="Grid Table 7 Colorful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sz="4" w:space="0"/>
        <w:right w:val="single" w:color="A2C6E7" w:sz="4" w:space="0"/>
        <w:insideH w:val="single" w:color="A2C6E7" w:sz="4" w:space="0"/>
        <w:insideV w:val="single" w:color="A2C6E7" w:sz="4" w:space="0"/>
      </w:tblBorders>
    </w:tblPr>
    <w:tblStylePr w:type="band1Horz">
      <w:rPr>
        <w:rFonts w:ascii="Arial" w:hAnsi="Arial"/>
        <w:color w:val="245a8d"/>
        <w:sz w:val="22"/>
      </w:rPr>
      <w:tcPr>
        <w:shd w:val="clear" w:color="ddeaf6" w:fill="ddeaf6"/>
      </w:tcPr>
    </w:tblStylePr>
    <w:tblStylePr w:type="band1Vert">
      <w:tcPr>
        <w:shd w:val="clear" w:color="ddeaf6" w:fill="ddeaf6"/>
      </w:tcPr>
    </w:tblStylePr>
    <w:tblStylePr w:type="band2Horz">
      <w:rPr>
        <w:rFonts w:ascii="Arial" w:hAnsi="Arial"/>
        <w:color w:val="245a8d"/>
        <w:sz w:val="22"/>
      </w:rPr>
    </w:tblStylePr>
    <w:tblStylePr w:type="firstCol">
      <w:rPr>
        <w:rFonts w:ascii="Arial" w:hAnsi="Arial"/>
        <w:i/>
        <w:color w:val="245a8d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2C6E7" w:sz="4" w:space="0"/>
        </w:tcBorders>
      </w:tcPr>
    </w:tblStylePr>
    <w:tblStylePr w:type="firstRow">
      <w:rPr>
        <w:rFonts w:ascii="Arial" w:hAnsi="Arial"/>
        <w:b/>
        <w:color w:val="245a8d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A2C6E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/>
        <w:sz w:val="22"/>
      </w:rPr>
      <w:tcPr>
        <w:shd w:val="clear" w:color="ffffff" w:fill="auto"/>
        <w:tcBorders>
          <w:top w:val="none" w:color="auto" w:sz="0" w:space="0"/>
          <w:left w:val="single" w:color="A2C6E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45a8d"/>
        <w:sz w:val="22"/>
      </w:rPr>
      <w:tcPr>
        <w:shd w:val="clear" w:color="ffffff" w:fill="ffffff"/>
        <w:tcBorders>
          <w:top w:val="single" w:color="A2C6E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4" w:customStyle="1">
    <w:name w:val="Grid Table 7 Colorful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sz="4" w:space="0"/>
        <w:right w:val="single" w:color="ADD394" w:sz="4" w:space="0"/>
        <w:insideH w:val="single" w:color="ADD394" w:sz="4" w:space="0"/>
        <w:insideV w:val="single" w:color="ADD394" w:sz="4" w:space="0"/>
      </w:tblBorders>
    </w:tblPr>
    <w:tblStylePr w:type="band1Horz">
      <w:rPr>
        <w:rFonts w:ascii="Arial" w:hAnsi="Arial"/>
        <w:color w:val="416429"/>
        <w:sz w:val="22"/>
      </w:rPr>
      <w:tcPr>
        <w:shd w:val="clear" w:color="e1efd8" w:fill="e1efd8"/>
      </w:tcPr>
    </w:tblStylePr>
    <w:tblStylePr w:type="band1Vert"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  <w:tblStylePr w:type="firstCol">
      <w:rPr>
        <w:rFonts w:ascii="Arial" w:hAnsi="Arial"/>
        <w:i/>
        <w:color w:val="416429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sz="4" w:space="0"/>
        </w:tcBorders>
      </w:tcPr>
    </w:tblStylePr>
    <w:tblStylePr w:type="firstRow">
      <w:rPr>
        <w:rFonts w:ascii="Arial" w:hAnsi="Arial"/>
        <w:b/>
        <w:color w:val="416429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ADD394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/>
        <w:sz w:val="22"/>
      </w:rPr>
      <w:tcPr>
        <w:shd w:val="clear" w:color="ffffff" w:fill="auto"/>
        <w:tcBorders>
          <w:top w:val="none" w:color="auto" w:sz="0" w:space="0"/>
          <w:left w:val="single" w:color="ADD394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/>
        <w:sz w:val="22"/>
      </w:rPr>
      <w:tcPr>
        <w:shd w:val="clear" w:color="ffffff" w:fill="ffffff"/>
        <w:tcBorders>
          <w:top w:val="single" w:color="ADD394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35" w:customStyle="1">
    <w:name w:val="Список-таблица 1 светлая3"/>
    <w:basedOn w:val="723"/>
    <w:next w:val="96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6" w:customStyle="1">
    <w:name w:val="List Table 1 Light - Accent 1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7" w:customStyle="1">
    <w:name w:val="List Table 1 Light - Accent 2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8" w:customStyle="1">
    <w:name w:val="List Table 1 Light - Accent 3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39" w:customStyle="1">
    <w:name w:val="List Table 1 Light - Accent 4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0" w:customStyle="1">
    <w:name w:val="List Table 1 Light - Accent 5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1" w:customStyle="1">
    <w:name w:val="List Table 1 Light - Accent 61"/>
    <w:basedOn w:val="7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42" w:customStyle="1">
    <w:name w:val="Список-таблица 23"/>
    <w:basedOn w:val="723"/>
    <w:next w:val="97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243" w:customStyle="1">
    <w:name w:val="List Table 2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bottom w:val="single" w:color="95AFDD" w:sz="4" w:space="0"/>
        <w:insideH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sz="4" w:space="0"/>
          <w:left w:val="none" w:color="000000" w:sz="4" w:space="0"/>
          <w:bottom w:val="single" w:color="95AFDD" w:sz="4" w:space="0"/>
          <w:right w:val="none" w:color="000000" w:sz="4" w:space="0"/>
        </w:tcBorders>
      </w:tcPr>
    </w:tblStylePr>
  </w:style>
  <w:style w:type="table" w:styleId="1244" w:customStyle="1">
    <w:name w:val="List Table 2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bottom w:val="single" w:color="F4B58A" w:sz="4" w:space="0"/>
        <w:insideH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sz="4" w:space="0"/>
          <w:left w:val="none" w:color="000000" w:sz="4" w:space="0"/>
          <w:bottom w:val="single" w:color="F4B58A" w:sz="4" w:space="0"/>
          <w:right w:val="none" w:color="000000" w:sz="4" w:space="0"/>
        </w:tcBorders>
      </w:tcPr>
    </w:tblStylePr>
  </w:style>
  <w:style w:type="table" w:styleId="1245" w:customStyle="1">
    <w:name w:val="List Table 2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bottom w:val="single" w:color="CCCCCC" w:sz="4" w:space="0"/>
        <w:insideH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sz="4" w:space="0"/>
          <w:left w:val="none" w:color="000000" w:sz="4" w:space="0"/>
          <w:bottom w:val="single" w:color="CCCCCC" w:sz="4" w:space="0"/>
          <w:right w:val="none" w:color="000000" w:sz="4" w:space="0"/>
        </w:tcBorders>
      </w:tcPr>
    </w:tblStylePr>
  </w:style>
  <w:style w:type="table" w:styleId="1246" w:customStyle="1">
    <w:name w:val="List Table 2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bottom w:val="single" w:color="FFDB6F" w:sz="4" w:space="0"/>
        <w:insideH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sz="4" w:space="0"/>
          <w:left w:val="none" w:color="000000" w:sz="4" w:space="0"/>
          <w:bottom w:val="single" w:color="FFDB6F" w:sz="4" w:space="0"/>
          <w:right w:val="none" w:color="000000" w:sz="4" w:space="0"/>
        </w:tcBorders>
      </w:tcPr>
    </w:tblStylePr>
  </w:style>
  <w:style w:type="table" w:styleId="1247" w:customStyle="1">
    <w:name w:val="List Table 2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bottom w:val="single" w:color="A2C6E7" w:sz="4" w:space="0"/>
        <w:insideH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sz="4" w:space="0"/>
          <w:left w:val="none" w:color="000000" w:sz="4" w:space="0"/>
          <w:bottom w:val="single" w:color="A2C6E7" w:sz="4" w:space="0"/>
          <w:right w:val="none" w:color="000000" w:sz="4" w:space="0"/>
        </w:tcBorders>
      </w:tcPr>
    </w:tblStylePr>
  </w:style>
  <w:style w:type="table" w:styleId="1248" w:customStyle="1">
    <w:name w:val="List Table 2 - Accent 61"/>
    <w:basedOn w:val="723"/>
    <w:uiPriority w:val="99"/>
    <w:qFormat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bottom w:val="single" w:color="ADD394" w:sz="4" w:space="0"/>
        <w:insideH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sz="4" w:space="0"/>
          <w:left w:val="none" w:color="000000" w:sz="4" w:space="0"/>
          <w:bottom w:val="single" w:color="ADD394" w:sz="4" w:space="0"/>
          <w:right w:val="none" w:color="000000" w:sz="4" w:space="0"/>
        </w:tcBorders>
      </w:tcPr>
    </w:tblStylePr>
  </w:style>
  <w:style w:type="table" w:styleId="1249" w:customStyle="1">
    <w:name w:val="Список-таблица 33"/>
    <w:basedOn w:val="723"/>
    <w:next w:val="9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 w:customStyle="1">
    <w:name w:val="List Table 3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sz="4" w:space="0"/>
          <w:bottom w:val="single" w:color="4472C4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sz="4" w:space="0"/>
          <w:right w:val="single" w:color="4472C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 w:customStyle="1">
    <w:name w:val="List Table 3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left w:val="single" w:color="F4B184" w:sz="4" w:space="0"/>
        <w:bottom w:val="single" w:color="F4B184" w:sz="4" w:space="0"/>
        <w:right w:val="single" w:color="F4B18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/>
          <w:bottom w:val="single" w:color="F4B184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/>
          <w:right w:val="single" w:color="F4B18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 w:customStyle="1">
    <w:name w:val="List Table 3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/>
          <w:bottom w:val="single" w:color="C9C9C9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/>
          <w:right w:val="single" w:color="C9C9C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 w:customStyle="1">
    <w:name w:val="List Table 3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left w:val="single" w:color="FFD865" w:sz="4" w:space="0"/>
        <w:bottom w:val="single" w:color="FFD865" w:sz="4" w:space="0"/>
        <w:right w:val="single" w:color="FFD86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/>
          <w:bottom w:val="single" w:color="FFD86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/>
          <w:right w:val="single" w:color="FFD86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 w:customStyle="1">
    <w:name w:val="List Table 3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4" w:space="0"/>
        <w:left w:val="single" w:color="9BC2E5" w:sz="4" w:space="0"/>
        <w:bottom w:val="single" w:color="9BC2E5" w:sz="4" w:space="0"/>
        <w:right w:val="single" w:color="9BC2E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sz="4" w:space="0"/>
          <w:bottom w:val="single" w:color="9BC2E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sz="4" w:space="0"/>
          <w:right w:val="single" w:color="9BC2E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9bc2e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 w:customStyle="1">
    <w:name w:val="List Table 3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4" w:space="0"/>
        <w:left w:val="single" w:color="A9D08E" w:sz="4" w:space="0"/>
        <w:bottom w:val="single" w:color="A9D08E" w:sz="4" w:space="0"/>
        <w:right w:val="single" w:color="A9D08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/>
          <w:bottom w:val="single" w:color="A9D08E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/>
          <w:right w:val="single" w:color="A9D08E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6" w:customStyle="1">
    <w:name w:val="Список-таблица 43"/>
    <w:basedOn w:val="723"/>
    <w:next w:val="9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7" w:customStyle="1">
    <w:name w:val="List Table 4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sz="4" w:space="0"/>
        <w:left w:val="single" w:color="95AFDD" w:sz="4" w:space="0"/>
        <w:bottom w:val="single" w:color="95AFDD" w:sz="4" w:space="0"/>
        <w:right w:val="single" w:color="95AFDD" w:sz="4" w:space="0"/>
        <w:insideH w:val="single" w:color="95AFDD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cfdb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8" w:customStyle="1">
    <w:name w:val="List Table 4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sz="4" w:space="0"/>
        <w:left w:val="single" w:color="F4B58A" w:sz="4" w:space="0"/>
        <w:bottom w:val="single" w:color="F4B58A" w:sz="4" w:space="0"/>
        <w:right w:val="single" w:color="F4B58A" w:sz="4" w:space="0"/>
        <w:insideH w:val="single" w:color="F4B58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fade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9" w:customStyle="1">
    <w:name w:val="List Table 4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sz="4" w:space="0"/>
        <w:left w:val="single" w:color="CCCCCC" w:sz="4" w:space="0"/>
        <w:bottom w:val="single" w:color="CCCCCC" w:sz="4" w:space="0"/>
        <w:right w:val="single" w:color="CCCCCC" w:sz="4" w:space="0"/>
        <w:insideH w:val="single" w:color="CCCCCC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e8e8e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0" w:customStyle="1">
    <w:name w:val="List Table 4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sz="4" w:space="0"/>
        <w:left w:val="single" w:color="FFDB6F" w:sz="4" w:space="0"/>
        <w:bottom w:val="single" w:color="FFDB6F" w:sz="4" w:space="0"/>
        <w:right w:val="single" w:color="FFDB6F" w:sz="4" w:space="0"/>
        <w:insideH w:val="single" w:color="FFDB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ffe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1" w:customStyle="1">
    <w:name w:val="List Table 4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sz="4" w:space="0"/>
        <w:left w:val="single" w:color="A2C6E7" w:sz="4" w:space="0"/>
        <w:bottom w:val="single" w:color="A2C6E7" w:sz="4" w:space="0"/>
        <w:right w:val="single" w:color="A2C6E7" w:sz="4" w:space="0"/>
        <w:insideH w:val="single" w:color="A2C6E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d5e5f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2" w:customStyle="1">
    <w:name w:val="List Table 4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sz="4" w:space="0"/>
        <w:left w:val="single" w:color="ADD394" w:sz="4" w:space="0"/>
        <w:bottom w:val="single" w:color="ADD394" w:sz="4" w:space="0"/>
        <w:right w:val="single" w:color="ADD394" w:sz="4" w:space="0"/>
        <w:insideH w:val="single" w:color="ADD394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daebc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3" w:customStyle="1">
    <w:name w:val="Список-таблица 5 темная3"/>
    <w:basedOn w:val="723"/>
    <w:next w:val="9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4" w:customStyle="1">
    <w:name w:val="List Table 5 Dark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32" w:space="0"/>
        <w:left w:val="single" w:color="4472C4" w:sz="32" w:space="0"/>
        <w:bottom w:val="single" w:color="4472C4" w:sz="32" w:space="0"/>
        <w:right w:val="single" w:color="4472C4" w:sz="32" w:space="0"/>
      </w:tblBorders>
      <w:shd w:val="clear" w:color="4472c4" w:fill="4472c4"/>
    </w:tblPr>
    <w:tblStylePr w:type="band1Horz">
      <w:tcPr>
        <w:shd w:val="clear" w:color="4472c4" w:fill="4472c4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472c4" w:fill="4472c4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472c4" w:fill="4472c4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472C4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4472c4"/>
        <w:tcBorders>
          <w:top w:val="single" w:color="4472C4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472C4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5" w:customStyle="1">
    <w:name w:val="List Table 5 Dark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32" w:space="0"/>
        <w:left w:val="single" w:color="F4B184" w:sz="32" w:space="0"/>
        <w:bottom w:val="single" w:color="F4B184" w:sz="32" w:space="0"/>
        <w:right w:val="single" w:color="F4B184" w:sz="32" w:space="0"/>
      </w:tblBorders>
      <w:shd w:val="clear" w:color="f4b184" w:fill="f4b184"/>
    </w:tblPr>
    <w:tblStylePr w:type="band1Horz">
      <w:tcPr>
        <w:shd w:val="clear" w:color="f4b184" w:fill="f4b184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4b184" w:fill="f4b184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4b184" w:fill="f4b184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4B184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f4b184"/>
        <w:tcBorders>
          <w:top w:val="single" w:color="F4B184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4B184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6" w:customStyle="1">
    <w:name w:val="List Table 5 Dark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32" w:space="0"/>
        <w:left w:val="single" w:color="C9C9C9" w:sz="32" w:space="0"/>
        <w:bottom w:val="single" w:color="C9C9C9" w:sz="32" w:space="0"/>
        <w:right w:val="single" w:color="C9C9C9" w:sz="32" w:space="0"/>
      </w:tblBorders>
      <w:shd w:val="clear" w:color="c9c9c9" w:fill="c9c9c9"/>
    </w:tblPr>
    <w:tblStylePr w:type="band1Horz">
      <w:tcPr>
        <w:shd w:val="clear" w:color="c9c9c9" w:fill="c9c9c9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9c9c9" w:fill="c9c9c9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9c9c9" w:fill="c9c9c9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9C9C9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c9c9c9"/>
        <w:tcBorders>
          <w:top w:val="single" w:color="C9C9C9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9C9C9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7" w:customStyle="1">
    <w:name w:val="List Table 5 Dark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32" w:space="0"/>
        <w:left w:val="single" w:color="FFD865" w:sz="32" w:space="0"/>
        <w:bottom w:val="single" w:color="FFD865" w:sz="32" w:space="0"/>
        <w:right w:val="single" w:color="FFD865" w:sz="32" w:space="0"/>
      </w:tblBorders>
      <w:shd w:val="clear" w:color="ffd865" w:fill="ffd865"/>
    </w:tblPr>
    <w:tblStylePr w:type="band1Horz">
      <w:tcPr>
        <w:shd w:val="clear" w:color="ffd865" w:fill="ffd86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fd865" w:fill="ffd86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fd865" w:fill="ffd86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FD86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ffd865"/>
        <w:tcBorders>
          <w:top w:val="single" w:color="FFD86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FD86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8" w:customStyle="1">
    <w:name w:val="List Table 5 Dark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32" w:space="0"/>
        <w:left w:val="single" w:color="9BC2E5" w:sz="32" w:space="0"/>
        <w:bottom w:val="single" w:color="9BC2E5" w:sz="32" w:space="0"/>
        <w:right w:val="single" w:color="9BC2E5" w:sz="32" w:space="0"/>
      </w:tblBorders>
      <w:shd w:val="clear" w:color="9bc2e5" w:fill="9bc2e5"/>
    </w:tblPr>
    <w:tblStylePr w:type="band1Horz">
      <w:tcPr>
        <w:shd w:val="clear" w:color="9bc2e5" w:fill="9bc2e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bc2e5" w:fill="9bc2e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bc2e5" w:fill="9bc2e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BC2E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9bc2e5"/>
        <w:tcBorders>
          <w:top w:val="single" w:color="9BC2E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BC2E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69" w:customStyle="1">
    <w:name w:val="List Table 5 Dark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32" w:space="0"/>
        <w:left w:val="single" w:color="A9D08E" w:sz="32" w:space="0"/>
        <w:bottom w:val="single" w:color="A9D08E" w:sz="32" w:space="0"/>
        <w:right w:val="single" w:color="A9D08E" w:sz="32" w:space="0"/>
      </w:tblBorders>
      <w:shd w:val="clear" w:color="a9d08e" w:fill="a9d08e"/>
    </w:tblPr>
    <w:tblStylePr w:type="band1Horz">
      <w:tcPr>
        <w:shd w:val="clear" w:color="a9d08e" w:fill="a9d08e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9d08e" w:fill="a9d08e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9d08e" w:fill="a9d08e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A9D08E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9d08e"/>
        <w:tcBorders>
          <w:top w:val="single" w:color="A9D08E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A9D08E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270" w:customStyle="1">
    <w:name w:val="Список-таблица 6 цветная3"/>
    <w:basedOn w:val="723"/>
    <w:next w:val="10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271" w:customStyle="1">
    <w:name w:val="List Table 6 Colorful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sz="4" w:space="0"/>
        <w:bottom w:val="single" w:color="4472C4" w:sz="4" w:space="0"/>
      </w:tblBorders>
    </w:tblPr>
    <w:tblStylePr w:type="band1Horz">
      <w:rPr>
        <w:rFonts w:ascii="Arial" w:hAnsi="Arial"/>
        <w:color w:val="254175"/>
        <w:sz w:val="22"/>
      </w:rPr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  <w:tblStylePr w:type="firstCol">
      <w:rPr>
        <w:b/>
        <w:color w:val="254175"/>
      </w:rPr>
    </w:tblStylePr>
    <w:tblStylePr w:type="firstRow">
      <w:rPr>
        <w:b/>
        <w:color w:val="254175"/>
      </w:rPr>
      <w:tcPr>
        <w:tcBorders>
          <w:bottom w:val="single" w:color="4472C4" w:sz="4" w:space="0"/>
        </w:tcBorders>
      </w:tcPr>
    </w:tblStylePr>
    <w:tblStylePr w:type="lastCol">
      <w:rPr>
        <w:b/>
        <w:color w:val="254175"/>
      </w:rPr>
    </w:tblStylePr>
    <w:tblStylePr w:type="lastRow">
      <w:rPr>
        <w:b/>
        <w:color w:val="254175"/>
      </w:rPr>
      <w:tcPr>
        <w:tcBorders>
          <w:top w:val="single" w:color="4472C4" w:sz="4" w:space="0"/>
        </w:tcBorders>
      </w:tcPr>
    </w:tblStylePr>
  </w:style>
  <w:style w:type="table" w:styleId="1272" w:customStyle="1">
    <w:name w:val="List Table 6 Colorful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sz="4" w:space="0"/>
        <w:bottom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b/>
        <w:color w:val="f4b184"/>
      </w:rPr>
    </w:tblStylePr>
    <w:tblStylePr w:type="firstRow">
      <w:rPr>
        <w:b/>
        <w:color w:val="f4b184"/>
      </w:rPr>
      <w:tcPr>
        <w:tcBorders>
          <w:bottom w:val="single" w:color="F4B184" w:sz="4" w:space="0"/>
        </w:tcBorders>
      </w:tcPr>
    </w:tblStylePr>
    <w:tblStylePr w:type="lastCol">
      <w:rPr>
        <w:b/>
        <w:color w:val="f4b184"/>
      </w:rPr>
    </w:tblStylePr>
    <w:tblStylePr w:type="lastRow">
      <w:rPr>
        <w:b/>
        <w:color w:val="f4b184"/>
      </w:rPr>
      <w:tcPr>
        <w:tcBorders>
          <w:top w:val="single" w:color="F4B184" w:sz="4" w:space="0"/>
        </w:tcBorders>
      </w:tcPr>
    </w:tblStylePr>
  </w:style>
  <w:style w:type="table" w:styleId="1273" w:customStyle="1">
    <w:name w:val="List Table 6 Colorful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sz="4" w:space="0"/>
        <w:bottom w:val="single" w:color="C9C9C9" w:sz="4" w:space="0"/>
      </w:tblBorders>
    </w:tblPr>
    <w:tblStylePr w:type="band1Horz">
      <w:rPr>
        <w:rFonts w:ascii="Arial" w:hAnsi="Arial"/>
        <w:color w:val="c9c9c9"/>
        <w:sz w:val="22"/>
      </w:rPr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  <w:tblStylePr w:type="firstCol">
      <w:rPr>
        <w:b/>
        <w:color w:val="c9c9c9"/>
      </w:rPr>
    </w:tblStylePr>
    <w:tblStylePr w:type="firstRow">
      <w:rPr>
        <w:b/>
        <w:color w:val="c9c9c9"/>
      </w:rPr>
      <w:tcPr>
        <w:tcBorders>
          <w:bottom w:val="single" w:color="C9C9C9" w:sz="4" w:space="0"/>
        </w:tcBorders>
      </w:tcPr>
    </w:tblStylePr>
    <w:tblStylePr w:type="lastCol">
      <w:rPr>
        <w:b/>
        <w:color w:val="c9c9c9"/>
      </w:rPr>
    </w:tblStylePr>
    <w:tblStylePr w:type="lastRow">
      <w:rPr>
        <w:b/>
        <w:color w:val="c9c9c9"/>
      </w:rPr>
      <w:tcPr>
        <w:tcBorders>
          <w:top w:val="single" w:color="C9C9C9" w:sz="4" w:space="0"/>
        </w:tcBorders>
      </w:tcPr>
    </w:tblStylePr>
  </w:style>
  <w:style w:type="table" w:styleId="1274" w:customStyle="1">
    <w:name w:val="List Table 6 Colorful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sz="4" w:space="0"/>
        <w:bottom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b/>
        <w:color w:val="ffd865"/>
      </w:rPr>
    </w:tblStylePr>
    <w:tblStylePr w:type="firstRow">
      <w:rPr>
        <w:b/>
        <w:color w:val="ffd865"/>
      </w:rPr>
      <w:tcPr>
        <w:tcBorders>
          <w:bottom w:val="single" w:color="FFD865" w:sz="4" w:space="0"/>
        </w:tcBorders>
      </w:tcPr>
    </w:tblStylePr>
    <w:tblStylePr w:type="lastCol">
      <w:rPr>
        <w:b/>
        <w:color w:val="ffd865"/>
      </w:rPr>
    </w:tblStylePr>
    <w:tblStylePr w:type="lastRow">
      <w:rPr>
        <w:b/>
        <w:color w:val="ffd865"/>
      </w:rPr>
      <w:tcPr>
        <w:tcBorders>
          <w:top w:val="single" w:color="FFD865" w:sz="4" w:space="0"/>
        </w:tcBorders>
      </w:tcPr>
    </w:tblStylePr>
  </w:style>
  <w:style w:type="table" w:styleId="1275" w:customStyle="1">
    <w:name w:val="List Table 6 Colorful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sz="4" w:space="0"/>
        <w:bottom w:val="single" w:color="9BC2E5" w:sz="4" w:space="0"/>
      </w:tblBorders>
    </w:tblPr>
    <w:tblStylePr w:type="band1Horz">
      <w:rPr>
        <w:rFonts w:ascii="Arial" w:hAnsi="Arial"/>
        <w:color w:val="9bc2e5"/>
        <w:sz w:val="22"/>
      </w:rPr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  <w:tblStylePr w:type="firstCol">
      <w:rPr>
        <w:b/>
        <w:color w:val="9bc2e5"/>
      </w:rPr>
    </w:tblStylePr>
    <w:tblStylePr w:type="firstRow">
      <w:rPr>
        <w:b/>
        <w:color w:val="9bc2e5"/>
      </w:rPr>
      <w:tcPr>
        <w:tcBorders>
          <w:bottom w:val="single" w:color="9BC2E5" w:sz="4" w:space="0"/>
        </w:tcBorders>
      </w:tcPr>
    </w:tblStylePr>
    <w:tblStylePr w:type="lastCol">
      <w:rPr>
        <w:b/>
        <w:color w:val="9bc2e5"/>
      </w:rPr>
    </w:tblStylePr>
    <w:tblStylePr w:type="lastRow">
      <w:rPr>
        <w:b/>
        <w:color w:val="9bc2e5"/>
      </w:rPr>
      <w:tcPr>
        <w:tcBorders>
          <w:top w:val="single" w:color="9BC2E5" w:sz="4" w:space="0"/>
        </w:tcBorders>
      </w:tcPr>
    </w:tblStylePr>
  </w:style>
  <w:style w:type="table" w:styleId="1276" w:customStyle="1">
    <w:name w:val="List Table 6 Colorful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sz="4" w:space="0"/>
        <w:bottom w:val="single" w:color="A9D08E" w:sz="4" w:space="0"/>
      </w:tblBorders>
    </w:tblPr>
    <w:tblStylePr w:type="band1Horz">
      <w:rPr>
        <w:rFonts w:ascii="Arial" w:hAnsi="Arial"/>
        <w:color w:val="a9d08e"/>
        <w:sz w:val="22"/>
      </w:rPr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  <w:tblStylePr w:type="firstCol">
      <w:rPr>
        <w:b/>
        <w:color w:val="a9d08e"/>
      </w:rPr>
    </w:tblStylePr>
    <w:tblStylePr w:type="firstRow">
      <w:rPr>
        <w:b/>
        <w:color w:val="a9d08e"/>
      </w:rPr>
      <w:tcPr>
        <w:tcBorders>
          <w:bottom w:val="single" w:color="A9D08E" w:sz="4" w:space="0"/>
        </w:tcBorders>
      </w:tcPr>
    </w:tblStylePr>
    <w:tblStylePr w:type="lastCol">
      <w:rPr>
        <w:b/>
        <w:color w:val="a9d08e"/>
      </w:rPr>
    </w:tblStylePr>
    <w:tblStylePr w:type="lastRow">
      <w:rPr>
        <w:b/>
        <w:color w:val="a9d08e"/>
      </w:rPr>
      <w:tcPr>
        <w:tcBorders>
          <w:top w:val="single" w:color="A9D08E" w:sz="4" w:space="0"/>
        </w:tcBorders>
      </w:tcPr>
    </w:tblStylePr>
  </w:style>
  <w:style w:type="table" w:styleId="1277" w:customStyle="1">
    <w:name w:val="Список-таблица 7 цветная3"/>
    <w:basedOn w:val="723"/>
    <w:next w:val="101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78" w:customStyle="1">
    <w:name w:val="List Table 7 Colorful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sz="4" w:space="0"/>
      </w:tblBorders>
    </w:tblPr>
    <w:tblStylePr w:type="band1Horz">
      <w:rPr>
        <w:rFonts w:ascii="Arial" w:hAnsi="Arial"/>
        <w:color w:val="254175"/>
        <w:sz w:val="22"/>
      </w:rPr>
      <w:tcPr>
        <w:shd w:val="clear" w:color="cfdbf0" w:fill="cfdbf0"/>
      </w:tcPr>
    </w:tblStylePr>
    <w:tblStylePr w:type="band1Vert">
      <w:tcPr>
        <w:shd w:val="clear" w:color="cfdbf0" w:fill="cfdbf0"/>
      </w:tcPr>
    </w:tblStylePr>
    <w:tblStylePr w:type="band2Horz">
      <w:rPr>
        <w:rFonts w:ascii="Arial" w:hAnsi="Arial"/>
        <w:color w:val="254175"/>
        <w:sz w:val="22"/>
      </w:rPr>
    </w:tblStylePr>
    <w:tblStylePr w:type="firstCol">
      <w:rPr>
        <w:rFonts w:ascii="Arial" w:hAnsi="Arial"/>
        <w:i/>
        <w:color w:val="25417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sz="4" w:space="0"/>
        </w:tcBorders>
      </w:tcPr>
    </w:tblStylePr>
    <w:tblStylePr w:type="firstRow">
      <w:rPr>
        <w:rFonts w:ascii="Arial" w:hAnsi="Arial"/>
        <w:i/>
        <w:color w:val="254175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4472C4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/>
        <w:sz w:val="22"/>
      </w:rPr>
      <w:tcPr>
        <w:shd w:val="clear" w:color="ffffff" w:fill="auto"/>
        <w:tcBorders>
          <w:top w:val="none" w:color="auto" w:sz="0" w:space="0"/>
          <w:left w:val="single" w:color="4472C4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54175"/>
        <w:sz w:val="22"/>
      </w:rPr>
      <w:tcPr>
        <w:shd w:val="clear" w:color="ffffff" w:fill="ffffff"/>
        <w:tcBorders>
          <w:top w:val="single" w:color="4472C4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79" w:customStyle="1">
    <w:name w:val="List Table 7 Colorful - Accent 21"/>
    <w:basedOn w:val="723"/>
    <w:uiPriority w:val="99"/>
    <w:qFormat/>
    <w:pPr>
      <w:spacing w:after="0" w:line="240" w:lineRule="auto"/>
    </w:pPr>
    <w:tblPr>
      <w:tblStyleRowBandSize w:val="1"/>
      <w:tblStyleColBandSize w:val="1"/>
      <w:tblBorders>
        <w:right w:val="single" w:color="F4B184" w:sz="4" w:space="0"/>
      </w:tblBorders>
    </w:tblPr>
    <w:tblStylePr w:type="band1Horz">
      <w:rPr>
        <w:rFonts w:ascii="Arial" w:hAnsi="Arial"/>
        <w:color w:val="f4b184"/>
        <w:sz w:val="22"/>
      </w:rPr>
      <w:tcPr>
        <w:shd w:val="clear" w:color="fadecb" w:fill="fadecb"/>
      </w:tcPr>
    </w:tblStylePr>
    <w:tblStylePr w:type="band1Vert"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  <w:tblStylePr w:type="firstCol">
      <w:rPr>
        <w:rFonts w:ascii="Arial" w:hAnsi="Arial"/>
        <w:i/>
        <w:color w:val="f4b184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sz="4" w:space="0"/>
        </w:tcBorders>
      </w:tcPr>
    </w:tblStylePr>
    <w:tblStylePr w:type="firstRow">
      <w:rPr>
        <w:rFonts w:ascii="Arial" w:hAnsi="Arial"/>
        <w:i/>
        <w:color w:val="f4b184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F4B184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/>
        <w:sz w:val="22"/>
      </w:rPr>
      <w:tcPr>
        <w:shd w:val="clear" w:color="ffffff" w:fill="auto"/>
        <w:tcBorders>
          <w:top w:val="none" w:color="auto" w:sz="0" w:space="0"/>
          <w:left w:val="single" w:color="F4B184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/>
        <w:sz w:val="22"/>
      </w:rPr>
      <w:tcPr>
        <w:shd w:val="clear" w:color="ffffff" w:fill="ffffff"/>
        <w:tcBorders>
          <w:top w:val="single" w:color="F4B184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80" w:customStyle="1">
    <w:name w:val="List Table 7 Colorful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sz="4" w:space="0"/>
      </w:tblBorders>
    </w:tblPr>
    <w:tblStylePr w:type="band1Horz">
      <w:rPr>
        <w:rFonts w:ascii="Arial" w:hAnsi="Arial"/>
        <w:color w:val="c9c9c9"/>
        <w:sz w:val="22"/>
      </w:rPr>
      <w:tcPr>
        <w:shd w:val="clear" w:color="e8e8e8" w:fill="e8e8e8"/>
      </w:tcPr>
    </w:tblStylePr>
    <w:tblStylePr w:type="band1Vert"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  <w:tblStylePr w:type="firstCol">
      <w:rPr>
        <w:rFonts w:ascii="Arial" w:hAnsi="Arial"/>
        <w:i/>
        <w:color w:val="c9c9c9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sz="4" w:space="0"/>
        </w:tcBorders>
      </w:tcPr>
    </w:tblStylePr>
    <w:tblStylePr w:type="firstRow">
      <w:rPr>
        <w:rFonts w:ascii="Arial" w:hAnsi="Arial"/>
        <w:i/>
        <w:color w:val="c9c9c9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C9C9C9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/>
        <w:sz w:val="22"/>
      </w:rPr>
      <w:tcPr>
        <w:shd w:val="clear" w:color="ffffff" w:fill="auto"/>
        <w:tcBorders>
          <w:top w:val="none" w:color="auto" w:sz="0" w:space="0"/>
          <w:left w:val="single" w:color="C9C9C9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/>
        <w:sz w:val="22"/>
      </w:rPr>
      <w:tcPr>
        <w:shd w:val="clear" w:color="ffffff" w:fill="ffffff"/>
        <w:tcBorders>
          <w:top w:val="single" w:color="C9C9C9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81" w:customStyle="1">
    <w:name w:val="List Table 7 Colorful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sz="4" w:space="0"/>
      </w:tblBorders>
    </w:tblPr>
    <w:tblStylePr w:type="band1Horz">
      <w:rPr>
        <w:rFonts w:ascii="Arial" w:hAnsi="Arial"/>
        <w:color w:val="ffd865"/>
        <w:sz w:val="22"/>
      </w:rPr>
      <w:tcPr>
        <w:shd w:val="clear" w:color="ffefbf" w:fill="ffefbf"/>
      </w:tcPr>
    </w:tblStylePr>
    <w:tblStylePr w:type="band1Vert"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  <w:tblStylePr w:type="firstCol">
      <w:rPr>
        <w:rFonts w:ascii="Arial" w:hAnsi="Arial"/>
        <w:i/>
        <w:color w:val="ffd86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sz="4" w:space="0"/>
        </w:tcBorders>
      </w:tcPr>
    </w:tblStylePr>
    <w:tblStylePr w:type="firstRow">
      <w:rPr>
        <w:rFonts w:ascii="Arial" w:hAnsi="Arial"/>
        <w:i/>
        <w:color w:val="ffd865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FFD865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/>
        <w:sz w:val="22"/>
      </w:rPr>
      <w:tcPr>
        <w:shd w:val="clear" w:color="ffffff" w:fill="auto"/>
        <w:tcBorders>
          <w:top w:val="none" w:color="auto" w:sz="0" w:space="0"/>
          <w:left w:val="single" w:color="FFD865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/>
        <w:sz w:val="22"/>
      </w:rPr>
      <w:tcPr>
        <w:shd w:val="clear" w:color="ffffff" w:fill="ffffff"/>
        <w:tcBorders>
          <w:top w:val="single" w:color="FFD865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82" w:customStyle="1">
    <w:name w:val="List Table 7 Colorful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sz="4" w:space="0"/>
      </w:tblBorders>
    </w:tblPr>
    <w:tblStylePr w:type="band1Horz">
      <w:rPr>
        <w:rFonts w:ascii="Arial" w:hAnsi="Arial"/>
        <w:color w:val="9bc2e5"/>
        <w:sz w:val="22"/>
      </w:rPr>
      <w:tcPr>
        <w:shd w:val="clear" w:color="d5e5f4" w:fill="d5e5f4"/>
      </w:tcPr>
    </w:tblStylePr>
    <w:tblStylePr w:type="band1Vert">
      <w:tcPr>
        <w:shd w:val="clear" w:color="d5e5f4" w:fill="d5e5f4"/>
      </w:tcPr>
    </w:tblStylePr>
    <w:tblStylePr w:type="band2Horz">
      <w:rPr>
        <w:rFonts w:ascii="Arial" w:hAnsi="Arial"/>
        <w:color w:val="9bc2e5"/>
        <w:sz w:val="22"/>
      </w:rPr>
    </w:tblStylePr>
    <w:tblStylePr w:type="firstCol">
      <w:rPr>
        <w:rFonts w:ascii="Arial" w:hAnsi="Arial"/>
        <w:i/>
        <w:color w:val="9bc2e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BC2E5" w:sz="4" w:space="0"/>
        </w:tcBorders>
      </w:tcPr>
    </w:tblStylePr>
    <w:tblStylePr w:type="firstRow">
      <w:rPr>
        <w:rFonts w:ascii="Arial" w:hAnsi="Arial"/>
        <w:i/>
        <w:color w:val="9bc2e5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9BC2E5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bc2e5"/>
        <w:sz w:val="22"/>
      </w:rPr>
      <w:tcPr>
        <w:shd w:val="clear" w:color="ffffff" w:fill="auto"/>
        <w:tcBorders>
          <w:top w:val="none" w:color="auto" w:sz="0" w:space="0"/>
          <w:left w:val="single" w:color="9BC2E5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bc2e5"/>
        <w:sz w:val="22"/>
      </w:rPr>
      <w:tcPr>
        <w:shd w:val="clear" w:color="ffffff" w:fill="ffffff"/>
        <w:tcBorders>
          <w:top w:val="single" w:color="9BC2E5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83" w:customStyle="1">
    <w:name w:val="List Table 7 Colorful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sz="4" w:space="0"/>
      </w:tblBorders>
    </w:tblPr>
    <w:tblStylePr w:type="band1Horz">
      <w:rPr>
        <w:rFonts w:ascii="Arial" w:hAnsi="Arial"/>
        <w:color w:val="a9d08e"/>
        <w:sz w:val="22"/>
      </w:rPr>
      <w:tcPr>
        <w:shd w:val="clear" w:color="daebcf" w:fill="daebcf"/>
      </w:tcPr>
    </w:tblStylePr>
    <w:tblStylePr w:type="band1Vert"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  <w:tblStylePr w:type="firstCol">
      <w:rPr>
        <w:rFonts w:ascii="Arial" w:hAnsi="Arial"/>
        <w:i/>
        <w:color w:val="a9d08e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sz="4" w:space="0"/>
        </w:tcBorders>
      </w:tcPr>
    </w:tblStylePr>
    <w:tblStylePr w:type="firstRow">
      <w:rPr>
        <w:rFonts w:ascii="Arial" w:hAnsi="Arial"/>
        <w:i/>
        <w:color w:val="a9d08e"/>
        <w:sz w:val="22"/>
      </w:rPr>
      <w:tcPr>
        <w:shd w:val="clear" w:color="ffffff" w:fill="ffffff"/>
        <w:tcBorders>
          <w:top w:val="none" w:color="auto" w:sz="0" w:space="0"/>
          <w:left w:val="none" w:color="auto" w:sz="0" w:space="0"/>
          <w:bottom w:val="single" w:color="A9D08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/>
        <w:sz w:val="22"/>
      </w:rPr>
      <w:tcPr>
        <w:shd w:val="clear" w:color="ffffff" w:fill="auto"/>
        <w:tcBorders>
          <w:top w:val="none" w:color="auto" w:sz="0" w:space="0"/>
          <w:left w:val="single" w:color="A9D08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/>
        <w:sz w:val="22"/>
      </w:rPr>
      <w:tcPr>
        <w:shd w:val="clear" w:color="ffffff" w:fill="ffffff"/>
        <w:tcBorders>
          <w:top w:val="single" w:color="A9D08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284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285" w:customStyle="1">
    <w:name w:val="Lined - Accent 1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537dc8"/>
      </w:tcPr>
    </w:tblStylePr>
  </w:style>
  <w:style w:type="table" w:styleId="1286" w:customStyle="1">
    <w:name w:val="Lined - Accent 2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/>
      </w:tcPr>
    </w:tblStylePr>
  </w:style>
  <w:style w:type="table" w:styleId="1287" w:customStyle="1">
    <w:name w:val="Lined - Accent 3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/>
      </w:tcPr>
    </w:tblStylePr>
  </w:style>
  <w:style w:type="table" w:styleId="1288" w:customStyle="1">
    <w:name w:val="Lined - Accent 4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/>
      </w:tcPr>
    </w:tblStylePr>
  </w:style>
  <w:style w:type="table" w:styleId="1289" w:customStyle="1">
    <w:name w:val="Lined - Accent 5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5b9bd5"/>
      </w:tcPr>
    </w:tblStylePr>
  </w:style>
  <w:style w:type="table" w:styleId="1290" w:customStyle="1">
    <w:name w:val="Lined - Accent 6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/>
      </w:tcPr>
    </w:tblStylePr>
  </w:style>
  <w:style w:type="table" w:styleId="1291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292" w:customStyle="1">
    <w:name w:val="Bordered &amp; Lined - Accent 1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sz="4" w:space="0"/>
        <w:left w:val="single" w:color="254175" w:sz="4" w:space="0"/>
        <w:bottom w:val="single" w:color="254175" w:sz="4" w:space="0"/>
        <w:right w:val="single" w:color="254175" w:sz="4" w:space="0"/>
        <w:insideH w:val="single" w:color="254175" w:sz="4" w:space="0"/>
        <w:insideV w:val="single" w:color="25417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c4d2ec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537dc8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537dc8"/>
      </w:tcPr>
    </w:tblStylePr>
  </w:style>
  <w:style w:type="table" w:styleId="1293" w:customStyle="1">
    <w:name w:val="Bordered &amp; Lined - Accent 2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sz="4" w:space="0"/>
        <w:left w:val="single" w:color="99460D" w:sz="4" w:space="0"/>
        <w:bottom w:val="single" w:color="99460D" w:sz="4" w:space="0"/>
        <w:right w:val="single" w:color="99460D" w:sz="4" w:space="0"/>
        <w:insideH w:val="single" w:color="99460D" w:sz="4" w:space="0"/>
        <w:insideV w:val="single" w:color="99460D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f4b184"/>
      </w:tcPr>
    </w:tblStylePr>
  </w:style>
  <w:style w:type="table" w:styleId="1294" w:customStyle="1">
    <w:name w:val="Bordered &amp; Lined - Accent 3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sz="4" w:space="0"/>
        <w:left w:val="single" w:color="606060" w:sz="4" w:space="0"/>
        <w:bottom w:val="single" w:color="606060" w:sz="4" w:space="0"/>
        <w:right w:val="single" w:color="606060" w:sz="4" w:space="0"/>
        <w:insideH w:val="single" w:color="606060" w:sz="4" w:space="0"/>
        <w:insideV w:val="single" w:color="606060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5a5a5"/>
      </w:tcPr>
    </w:tblStylePr>
  </w:style>
  <w:style w:type="table" w:styleId="1295" w:customStyle="1">
    <w:name w:val="Bordered &amp; Lined - Accent 4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sz="4" w:space="0"/>
        <w:left w:val="single" w:color="957000" w:sz="4" w:space="0"/>
        <w:bottom w:val="single" w:color="957000" w:sz="4" w:space="0"/>
        <w:right w:val="single" w:color="957000" w:sz="4" w:space="0"/>
        <w:insideH w:val="single" w:color="957000" w:sz="4" w:space="0"/>
        <w:insideV w:val="single" w:color="957000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ffd865"/>
      </w:tcPr>
    </w:tblStylePr>
  </w:style>
  <w:style w:type="table" w:styleId="1296" w:customStyle="1">
    <w:name w:val="Bordered &amp; Lined - Accent 5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sz="4" w:space="0"/>
        <w:left w:val="single" w:color="245A8D" w:sz="4" w:space="0"/>
        <w:bottom w:val="single" w:color="245A8D" w:sz="4" w:space="0"/>
        <w:right w:val="single" w:color="245A8D" w:sz="4" w:space="0"/>
        <w:insideH w:val="single" w:color="245A8D" w:sz="4" w:space="0"/>
        <w:insideV w:val="single" w:color="245A8D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ddeaf6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5b9bd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5b9bd5"/>
      </w:tcPr>
    </w:tblStylePr>
  </w:style>
  <w:style w:type="table" w:styleId="1297" w:customStyle="1">
    <w:name w:val="Bordered &amp; Lined - Accent 6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sz="4" w:space="0"/>
        <w:left w:val="single" w:color="416429" w:sz="4" w:space="0"/>
        <w:bottom w:val="single" w:color="416429" w:sz="4" w:space="0"/>
        <w:right w:val="single" w:color="416429" w:sz="4" w:space="0"/>
        <w:insideH w:val="single" w:color="416429" w:sz="4" w:space="0"/>
        <w:insideV w:val="single" w:color="4164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70ad47"/>
      </w:tcPr>
    </w:tblStylePr>
  </w:style>
  <w:style w:type="table" w:styleId="1298" w:customStyle="1">
    <w:name w:val="Bordered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299" w:customStyle="1">
    <w:name w:val="Bordered - Accent 1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sz="4" w:space="0"/>
        <w:left w:val="single" w:color="B3C5E7" w:sz="4" w:space="0"/>
        <w:bottom w:val="single" w:color="B3C5E7" w:sz="4" w:space="0"/>
        <w:right w:val="single" w:color="B3C5E7" w:sz="4" w:space="0"/>
        <w:insideH w:val="single" w:color="B3C5E7" w:sz="4" w:space="0"/>
        <w:insideV w:val="single" w:color="B3C5E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sz="4" w:space="0"/>
          <w:left w:val="single" w:color="B3C5E7" w:sz="4" w:space="0"/>
          <w:bottom w:val="single" w:color="B3C5E7" w:sz="4" w:space="0"/>
          <w:right w:val="single" w:color="B3C5E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sz="12" w:space="0"/>
        </w:tcBorders>
      </w:tcPr>
    </w:tblStylePr>
  </w:style>
  <w:style w:type="table" w:styleId="1300" w:customStyle="1">
    <w:name w:val="Bordered - Accent 2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sz="4" w:space="0"/>
        <w:left w:val="single" w:color="F7CAAB" w:sz="4" w:space="0"/>
        <w:bottom w:val="single" w:color="F7CAAB" w:sz="4" w:space="0"/>
        <w:right w:val="single" w:color="F7CAAB" w:sz="4" w:space="0"/>
        <w:insideH w:val="single" w:color="F7CAAB" w:sz="4" w:space="0"/>
        <w:insideV w:val="single" w:color="F7CAA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sz="4" w:space="0"/>
          <w:left w:val="single" w:color="F7CAAB" w:sz="4" w:space="0"/>
          <w:bottom w:val="single" w:color="F7CAAB" w:sz="4" w:space="0"/>
          <w:right w:val="single" w:color="F7CAA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/>
        </w:tcBorders>
      </w:tcPr>
    </w:tblStylePr>
  </w:style>
  <w:style w:type="table" w:styleId="1301" w:customStyle="1">
    <w:name w:val="Bordered - Accent 3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sz="4" w:space="0"/>
        <w:left w:val="single" w:color="DADADA" w:sz="4" w:space="0"/>
        <w:bottom w:val="single" w:color="DADADA" w:sz="4" w:space="0"/>
        <w:right w:val="single" w:color="DADADA" w:sz="4" w:space="0"/>
        <w:insideH w:val="single" w:color="DADADA" w:sz="4" w:space="0"/>
        <w:insideV w:val="single" w:color="DADAD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sz="4" w:space="0"/>
          <w:left w:val="single" w:color="DADADA" w:sz="4" w:space="0"/>
          <w:bottom w:val="single" w:color="DADADA" w:sz="4" w:space="0"/>
          <w:right w:val="single" w:color="DADADA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/>
        </w:tcBorders>
      </w:tcPr>
    </w:tblStylePr>
  </w:style>
  <w:style w:type="table" w:styleId="1302" w:customStyle="1">
    <w:name w:val="Bordered - Accent 4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sz="4" w:space="0"/>
        <w:left w:val="single" w:color="FFE598" w:sz="4" w:space="0"/>
        <w:bottom w:val="single" w:color="FFE598" w:sz="4" w:space="0"/>
        <w:right w:val="single" w:color="FFE598" w:sz="4" w:space="0"/>
        <w:insideH w:val="single" w:color="FFE598" w:sz="4" w:space="0"/>
        <w:insideV w:val="single" w:color="FFE5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sz="4" w:space="0"/>
          <w:left w:val="single" w:color="FFE598" w:sz="4" w:space="0"/>
          <w:bottom w:val="single" w:color="FFE598" w:sz="4" w:space="0"/>
          <w:right w:val="single" w:color="FFE59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/>
        </w:tcBorders>
      </w:tcPr>
    </w:tblStylePr>
  </w:style>
  <w:style w:type="table" w:styleId="1303" w:customStyle="1">
    <w:name w:val="Bordered - Accent 5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sz="4" w:space="0"/>
        <w:left w:val="single" w:color="BCD6EE" w:sz="4" w:space="0"/>
        <w:bottom w:val="single" w:color="BCD6EE" w:sz="4" w:space="0"/>
        <w:right w:val="single" w:color="BCD6EE" w:sz="4" w:space="0"/>
        <w:insideH w:val="single" w:color="BCD6EE" w:sz="4" w:space="0"/>
        <w:insideV w:val="single" w:color="BCD6EE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sz="4" w:space="0"/>
          <w:left w:val="single" w:color="BCD6EE" w:sz="4" w:space="0"/>
          <w:bottom w:val="single" w:color="BCD6EE" w:sz="4" w:space="0"/>
          <w:right w:val="single" w:color="BCD6EE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sz="12" w:space="0"/>
        </w:tcBorders>
      </w:tcPr>
    </w:tblStylePr>
  </w:style>
  <w:style w:type="table" w:styleId="1304" w:customStyle="1">
    <w:name w:val="Bordered - Accent 61"/>
    <w:basedOn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sz="4" w:space="0"/>
        <w:left w:val="single" w:color="C4DFB2" w:sz="4" w:space="0"/>
        <w:bottom w:val="single" w:color="C4DFB2" w:sz="4" w:space="0"/>
        <w:right w:val="single" w:color="C4DFB2" w:sz="4" w:space="0"/>
        <w:insideH w:val="single" w:color="C4DFB2" w:sz="4" w:space="0"/>
        <w:insideV w:val="single" w:color="C4DFB2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sz="4" w:space="0"/>
          <w:left w:val="single" w:color="C4DFB2" w:sz="4" w:space="0"/>
          <w:bottom w:val="single" w:color="C4DFB2" w:sz="4" w:space="0"/>
          <w:right w:val="single" w:color="C4DFB2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/>
        </w:tcBorders>
      </w:tcPr>
    </w:tblStylePr>
  </w:style>
  <w:style w:type="table" w:styleId="1305" w:customStyle="1">
    <w:name w:val="Table Normal13"/>
    <w:uiPriority w:val="99"/>
    <w:semiHidden/>
    <w:pPr>
      <w:spacing w:after="0" w:line="240" w:lineRule="auto"/>
      <w:widowControl w:val="off"/>
    </w:pPr>
    <w:rPr>
      <w:rFonts w:ascii="Calibri" w:hAnsi="Calibri" w:eastAsia="Times New Roman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1306" w:customStyle="1">
    <w:name w:val="Нет списка11"/>
    <w:next w:val="724"/>
    <w:uiPriority w:val="99"/>
    <w:semiHidden/>
    <w:unhideWhenUsed/>
  </w:style>
  <w:style w:type="table" w:styleId="1307" w:customStyle="1">
    <w:name w:val="Таблица простая 111"/>
    <w:basedOn w:val="723"/>
    <w:next w:val="1106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308" w:customStyle="1">
    <w:name w:val="Таблица простая 211"/>
    <w:basedOn w:val="723"/>
    <w:next w:val="110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bottom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</w:tblStylePr>
  </w:style>
  <w:style w:type="table" w:styleId="1309" w:customStyle="1">
    <w:name w:val="Таблица простая 311"/>
    <w:basedOn w:val="723"/>
    <w:next w:val="110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auto" w:sz="0" w:space="0"/>
          <w:left w:val="none" w:color="auto" w:sz="0" w:space="0"/>
          <w:bottom w:val="single" w:color="404040" w:sz="4" w:space="0"/>
          <w:right w:val="none" w:color="auto" w:sz="0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10" w:customStyle="1">
    <w:name w:val="Таблица простая 411"/>
    <w:basedOn w:val="723"/>
    <w:next w:val="110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1" w:customStyle="1">
    <w:name w:val="Таблица простая 511"/>
    <w:basedOn w:val="723"/>
    <w:next w:val="111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auto"/>
        <w:tcBorders>
          <w:left w:val="none" w:color="auto" w:sz="0" w:space="0"/>
          <w:bottom w:val="single" w:color="404040" w:sz="4" w:space="0"/>
          <w:right w:val="none" w:color="auto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auto"/>
        <w:tcBorders>
          <w:top w:val="single" w:color="404040" w:sz="4" w:space="0"/>
          <w:left w:val="none" w:color="auto" w:sz="0" w:space="0"/>
          <w:right w:val="none" w:color="auto" w:sz="0" w:space="0"/>
        </w:tcBorders>
      </w:tcPr>
    </w:tblStylePr>
  </w:style>
  <w:style w:type="table" w:styleId="1312" w:customStyle="1">
    <w:name w:val="Таблица-сетка 1 светлая11"/>
    <w:basedOn w:val="723"/>
    <w:next w:val="111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3" w:customStyle="1">
    <w:name w:val="Таблица-сетка 211"/>
    <w:basedOn w:val="723"/>
    <w:next w:val="111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single" w:color="6A6A6A" w:sz="12" w:space="0"/>
          <w:right w:val="none" w:color="auto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auto"/>
        <w:tcBorders>
          <w:top w:val="single" w:color="6A6A6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314" w:customStyle="1">
    <w:name w:val="Таблица-сетка 311"/>
    <w:basedOn w:val="723"/>
    <w:next w:val="111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fir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lastCol">
      <w:rPr>
        <w:i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  <w:tblStylePr w:type="lastRow">
      <w:rPr>
        <w:b/>
        <w:color w:val="404040"/>
      </w:r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315" w:customStyle="1">
    <w:name w:val="Таблица-сетка 411"/>
    <w:basedOn w:val="723"/>
    <w:next w:val="1114"/>
    <w:uiPriority w:val="5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316" w:customStyle="1">
    <w:name w:val="Таблица-сетка 5 темная11"/>
    <w:basedOn w:val="723"/>
    <w:next w:val="1115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auto" w:fill="bfbfbf"/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  <w:tcBorders>
          <w:top w:val="single" w:color="FFFFFF" w:sz="4" w:space="0"/>
        </w:tcBorders>
      </w:tcPr>
    </w:tblStylePr>
  </w:style>
  <w:style w:type="table" w:styleId="1317" w:customStyle="1">
    <w:name w:val="Таблица-сетка 6 цветная11"/>
    <w:basedOn w:val="723"/>
    <w:next w:val="1116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318" w:customStyle="1">
    <w:name w:val="Таблица-сетка 7 цветная11"/>
    <w:basedOn w:val="723"/>
    <w:next w:val="1117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hint="default" w:ascii="Arial" w:hAnsi="Arial" w:cs="Arial"/>
        <w:b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319" w:customStyle="1">
    <w:name w:val="Список-таблица 1 светлая11"/>
    <w:basedOn w:val="723"/>
    <w:next w:val="1118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auto" w:sz="0" w:space="0"/>
          <w:left w:val="none" w:color="auto" w:sz="0" w:space="0"/>
          <w:bottom w:val="single" w:color="000000" w:sz="4" w:space="0"/>
          <w:right w:val="none" w:color="auto" w:sz="0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320" w:customStyle="1">
    <w:name w:val="Список-таблица 211"/>
    <w:basedOn w:val="723"/>
    <w:next w:val="1119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rFonts w:hint="default" w:ascii="Arial" w:hAnsi="Arial" w:cs="Arial"/>
        <w:b/>
        <w:color w:val="404040"/>
        <w:sz w:val="22"/>
        <w:szCs w:val="22"/>
      </w:rPr>
    </w:tblStylePr>
    <w:tblStylePr w:type="fir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auto" w:sz="0" w:space="0"/>
          <w:bottom w:val="single" w:color="6F6F6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b/>
        <w:color w:val="404040"/>
        <w:sz w:val="22"/>
        <w:szCs w:val="22"/>
      </w:rPr>
    </w:tblStylePr>
    <w:tblStylePr w:type="lastRow">
      <w:rPr>
        <w:rFonts w:hint="default" w:ascii="Arial" w:hAnsi="Arial" w:cs="Arial"/>
        <w:b/>
        <w:color w:val="404040"/>
        <w:sz w:val="22"/>
        <w:szCs w:val="22"/>
      </w:rPr>
      <w:tcPr>
        <w:tcBorders>
          <w:top w:val="single" w:color="6F6F6F" w:sz="4" w:space="0"/>
          <w:left w:val="none" w:color="auto" w:sz="0" w:space="0"/>
          <w:bottom w:val="single" w:color="6F6F6F" w:sz="4" w:space="0"/>
          <w:right w:val="none" w:color="auto" w:sz="0" w:space="0"/>
        </w:tcBorders>
      </w:tcPr>
    </w:tblStylePr>
  </w:style>
  <w:style w:type="table" w:styleId="1321" w:customStyle="1">
    <w:name w:val="Список-таблица 311"/>
    <w:basedOn w:val="723"/>
    <w:next w:val="1120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2" w:customStyle="1">
    <w:name w:val="Список-таблица 411"/>
    <w:basedOn w:val="723"/>
    <w:next w:val="1121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band1Vert">
      <w:rPr>
        <w:rFonts w:hint="default" w:ascii="Arial" w:hAnsi="Arial" w:cs="Arial"/>
        <w:color w:val="404040"/>
        <w:sz w:val="22"/>
        <w:szCs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3" w:customStyle="1">
    <w:name w:val="Список-таблица 5 темная11"/>
    <w:basedOn w:val="723"/>
    <w:next w:val="1122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36" w:space="0"/>
        <w:left w:val="single" w:color="7F7F7F" w:sz="36" w:space="0"/>
        <w:bottom w:val="single" w:color="7F7F7F" w:sz="36" w:space="0"/>
        <w:right w:val="single" w:color="7F7F7F" w:sz="36" w:space="0"/>
      </w:tblBorders>
      <w:shd w:val="clear" w:color="auto" w:fill="7f7f7f"/>
    </w:tblPr>
    <w:tblStylePr w:type="band1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auto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auto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hint="default" w:ascii="Arial" w:hAnsi="Arial" w:cs="Arial"/>
        <w:b/>
        <w:color w:val="ffffff"/>
        <w:sz w:val="22"/>
        <w:szCs w:val="22"/>
      </w:rPr>
      <w:tcPr>
        <w:tcBorders>
          <w:left w:val="single" w:color="7F7F7F" w:sz="36" w:space="0"/>
          <w:right w:val="single" w:color="FFFFFF" w:sz="4" w:space="0"/>
        </w:tcBorders>
      </w:tcPr>
    </w:tblStylePr>
    <w:tblStylePr w:type="firstRow">
      <w:rPr>
        <w:rFonts w:hint="default" w:ascii="Arial" w:hAnsi="Arial" w:cs="Arial"/>
        <w:b/>
        <w:color w:val="ffffff"/>
        <w:sz w:val="22"/>
        <w:szCs w:val="22"/>
      </w:rPr>
      <w:tcPr>
        <w:shd w:val="clear" w:color="auto" w:fill="7f7f7f"/>
        <w:tcBorders>
          <w:top w:val="single" w:color="7F7F7F" w:sz="36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6" w:space="0"/>
        </w:tcBorders>
      </w:tcPr>
    </w:tblStylePr>
    <w:tblStylePr w:type="lastRow">
      <w:rPr>
        <w:rFonts w:hint="default" w:ascii="Arial" w:hAnsi="Arial" w:cs="Arial"/>
        <w:b/>
        <w:color w:val="ffffff"/>
        <w:sz w:val="22"/>
        <w:szCs w:val="22"/>
      </w:rPr>
    </w:tblStylePr>
  </w:style>
  <w:style w:type="table" w:styleId="1324" w:customStyle="1">
    <w:name w:val="Список-таблица 6 цветная11"/>
    <w:basedOn w:val="723"/>
    <w:next w:val="1123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hint="default" w:ascii="Arial" w:hAnsi="Arial" w:cs="Arial"/>
        <w:color w:val="000000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000000"/>
        <w:sz w:val="22"/>
        <w:szCs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325" w:customStyle="1">
    <w:name w:val="Список-таблица 7 цветная11"/>
    <w:basedOn w:val="723"/>
    <w:next w:val="1124"/>
    <w:uiPriority w:val="99"/>
    <w:pPr>
      <w:spacing w:after="0" w:line="240" w:lineRule="auto"/>
    </w:pPr>
    <w:rPr>
      <w:rFonts w:ascii="Calibri" w:hAnsi="Calibri" w:eastAsia="Calibri" w:cs="Times New Roman"/>
    </w:rPr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hint="default" w:ascii="Arial" w:hAnsi="Arial" w:cs="Arial"/>
        <w:color w:val="7f7f7f"/>
        <w:sz w:val="22"/>
        <w:szCs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hint="default" w:ascii="Arial" w:hAnsi="Arial" w:cs="Arial"/>
        <w:color w:val="7f7f7f"/>
        <w:sz w:val="22"/>
        <w:szCs w:val="22"/>
      </w:rPr>
    </w:tblStylePr>
    <w:tblStylePr w:type="firstCol">
      <w:rPr>
        <w:rFonts w:hint="default" w:ascii="Arial" w:hAnsi="Arial" w:cs="Arial"/>
        <w:i/>
        <w:color w:val="7f7f7f"/>
        <w:sz w:val="22"/>
        <w:szCs w:val="22"/>
      </w:rPr>
      <w:pPr>
        <w:jc w:val="right"/>
      </w:pPr>
      <w:tcPr>
        <w:shd w:val="clear" w:color="auto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sz="4" w:space="0"/>
        </w:tcBorders>
      </w:tcPr>
    </w:tblStylePr>
    <w:tblStylePr w:type="fir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sz="4" w:space="0"/>
          <w:right w:val="none" w:color="auto" w:sz="0" w:space="0"/>
        </w:tcBorders>
      </w:tcPr>
    </w:tblStylePr>
    <w:tblStylePr w:type="lastCol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auto"/>
        <w:tcBorders>
          <w:top w:val="none" w:color="auto" w:sz="0" w:space="0"/>
          <w:left w:val="single" w:color="7F7F7F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hint="default" w:ascii="Arial" w:hAnsi="Arial" w:cs="Arial"/>
        <w:i/>
        <w:color w:val="7f7f7f"/>
        <w:sz w:val="22"/>
        <w:szCs w:val="22"/>
      </w:rPr>
      <w:tcPr>
        <w:shd w:val="clear" w:color="auto" w:fill="ffffff"/>
        <w:tcBorders>
          <w:top w:val="single" w:color="7F7F7F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1326" w:customStyle="1">
    <w:name w:val="Таблица простая 122"/>
    <w:basedOn w:val="723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FBFBF" w:sz="4" w:space="0"/>
        </w:tcBorders>
      </w:tcPr>
    </w:tblStylePr>
  </w:style>
  <w:style w:type="table" w:styleId="1327" w:customStyle="1">
    <w:name w:val="Таблица простая 222"/>
    <w:basedOn w:val="723"/>
    <w:uiPriority w:val="42"/>
    <w:pPr>
      <w:spacing w:after="0" w:line="240" w:lineRule="auto"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tcPr>
        <w:tcBorders>
          <w:top w:val="single" w:color="7F7F7F" w:sz="4" w:space="0"/>
          <w:bottom w:val="single" w:color="7F7F7F" w:sz="4" w:space="0"/>
        </w:tcBorders>
      </w:tcPr>
    </w:tblStylePr>
    <w:tblStylePr w:type="band1Vert">
      <w:tcPr>
        <w:tcBorders>
          <w:left w:val="single" w:color="7F7F7F" w:sz="4" w:space="0"/>
          <w:right w:val="single" w:color="7F7F7F" w:sz="4" w:space="0"/>
        </w:tcBorders>
      </w:tcPr>
    </w:tblStylePr>
    <w:tblStylePr w:type="band2Vert">
      <w:tcPr>
        <w:tcBorders>
          <w:left w:val="single" w:color="7F7F7F" w:sz="4" w:space="0"/>
          <w:right w:val="single" w:color="7F7F7F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7F7F7F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F7F7F" w:sz="4" w:space="0"/>
        </w:tcBorders>
      </w:tcPr>
    </w:tblStylePr>
  </w:style>
  <w:style w:type="table" w:styleId="1328" w:customStyle="1">
    <w:name w:val="Таблица простая 322"/>
    <w:basedOn w:val="723"/>
    <w:uiPriority w:val="43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1329" w:customStyle="1">
    <w:name w:val="Таблица простая 422"/>
    <w:basedOn w:val="723"/>
    <w:uiPriority w:val="44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330" w:customStyle="1">
    <w:name w:val="Таблица простая 522"/>
    <w:basedOn w:val="723"/>
    <w:uiPriority w:val="45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7F7F7F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7F7F7F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7F7F7F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7F7F7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331" w:customStyle="1">
    <w:name w:val="Таблица-сетка 1 светлая22"/>
    <w:basedOn w:val="723"/>
    <w:uiPriority w:val="46"/>
    <w:pPr>
      <w:spacing w:after="0" w:line="240" w:lineRule="auto"/>
    </w:pPr>
    <w:tblPr>
      <w:tblStyleRowBandSize w:val="1"/>
      <w:tblStyleColBandSize w:val="1"/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2" w:space="0"/>
        </w:tcBorders>
      </w:tcPr>
    </w:tblStylePr>
  </w:style>
  <w:style w:type="table" w:styleId="1332" w:customStyle="1">
    <w:name w:val="Таблица-сетка 22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bottom w:val="single" w:color="666666" w:sz="12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shd w:val="clear" w:color="auto" w:fill="ffffff"/>
        <w:tcBorders>
          <w:top w:val="single" w:color="666666" w:sz="2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333" w:customStyle="1">
    <w:name w:val="Таблица-сетка 322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334" w:customStyle="1">
    <w:name w:val="Таблица-сетка 422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335" w:customStyle="1">
    <w:name w:val="Таблица-сетка 5 темная22"/>
    <w:basedOn w:val="723"/>
    <w:uiPriority w:val="50"/>
    <w:pPr>
      <w:spacing w:after="0" w:line="240" w:lineRule="auto"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cccccc"/>
    </w:tcPr>
    <w:tblStylePr w:type="band1Horz">
      <w:tcPr>
        <w:shd w:val="clear" w:color="auto" w:fill="999999"/>
      </w:tcPr>
    </w:tblStylePr>
    <w:tblStylePr w:type="band1Vert">
      <w:tcPr>
        <w:shd w:val="clear" w:color="auto" w:fill="999999"/>
      </w:tcPr>
    </w:tblStylePr>
    <w:tblStylePr w:type="fir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bottom w:val="single" w:color="FFFFFF" w:sz="4" w:space="0"/>
          <w:insideV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left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b/>
        <w:bCs/>
        <w:color w:val="ffffff"/>
      </w:rPr>
      <w:tcPr>
        <w:shd w:val="clear" w:color="auto" w:fill="000000"/>
        <w:tcBorders>
          <w:top w:val="single" w:color="FFFFFF" w:sz="4" w:space="0"/>
          <w:bottom w:val="single" w:color="FFFFFF" w:sz="4" w:space="0"/>
          <w:right w:val="single" w:color="FFFFFF" w:sz="4" w:space="0"/>
          <w:insideV w:val="none" w:color="000000" w:sz="4" w:space="0"/>
        </w:tcBorders>
      </w:tcPr>
    </w:tblStylePr>
    <w:tblStylePr w:type="lastRow">
      <w:rPr>
        <w:b/>
        <w:bCs/>
        <w:color w:val="ffffff"/>
      </w:rPr>
      <w:tcPr>
        <w:shd w:val="clear" w:color="auto" w:fill="000000"/>
        <w:tcBorders>
          <w:left w:val="single" w:color="FFFFFF" w:sz="4" w:space="0"/>
          <w:bottom w:val="single" w:color="FFFFFF" w:sz="4" w:space="0"/>
          <w:right w:val="single" w:color="FFFFFF" w:sz="4" w:space="0"/>
          <w:insideH w:val="none" w:color="000000" w:sz="4" w:space="0"/>
          <w:insideV w:val="none" w:color="000000" w:sz="4" w:space="0"/>
        </w:tcBorders>
      </w:tcPr>
    </w:tblStylePr>
  </w:style>
  <w:style w:type="table" w:styleId="1336" w:customStyle="1">
    <w:name w:val="Таблица-сетка 6 цветная22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37" w:customStyle="1">
    <w:name w:val="Таблица-сетка 7 цветная22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  <w:insideV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i/>
        <w:iCs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/>
        <w:tcBorders>
          <w:top w:val="none" w:color="000000" w:sz="4" w:space="0"/>
          <w:left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Col">
      <w:rPr>
        <w:i/>
        <w:iCs/>
      </w:rPr>
      <w:tcPr>
        <w:shd w:val="clear" w:color="auto" w:fill="ffffff"/>
        <w:tcBorders>
          <w:top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cBorders>
      </w:tcPr>
    </w:tblStylePr>
    <w:tblStylePr w:type="nwCell">
      <w:tcPr>
        <w:tcBorders>
          <w:bottom w:val="single" w:color="666666" w:sz="4" w:space="0"/>
        </w:tcBorders>
      </w:tcPr>
    </w:tblStylePr>
    <w:tblStylePr w:type="neCell">
      <w:tcPr>
        <w:tcBorders>
          <w:bottom w:val="single" w:color="666666" w:sz="4" w:space="0"/>
        </w:tcBorders>
      </w:tcPr>
    </w:tblStylePr>
    <w:tblStylePr w:type="swCell">
      <w:tcPr>
        <w:tcBorders>
          <w:top w:val="single" w:color="666666" w:sz="4" w:space="0"/>
        </w:tcBorders>
      </w:tcPr>
    </w:tblStylePr>
    <w:tblStylePr w:type="seCell">
      <w:tcPr>
        <w:tcBorders>
          <w:top w:val="single" w:color="666666" w:sz="4" w:space="0"/>
        </w:tcBorders>
      </w:tcPr>
    </w:tblStylePr>
  </w:style>
  <w:style w:type="table" w:styleId="1338" w:customStyle="1">
    <w:name w:val="Список-таблица 1 светлая22"/>
    <w:basedOn w:val="723"/>
    <w:uiPriority w:val="46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666666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39" w:customStyle="1">
    <w:name w:val="Список-таблица 222"/>
    <w:basedOn w:val="723"/>
    <w:uiPriority w:val="47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bottom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</w:tblStylePr>
  </w:style>
  <w:style w:type="table" w:styleId="1340" w:customStyle="1">
    <w:name w:val="Список-таблица 322"/>
    <w:basedOn w:val="723"/>
    <w:uiPriority w:val="48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  <w:insideH w:val="non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bCs/>
      </w:rPr>
      <w:tcPr>
        <w:shd w:val="clear" w:color="auto" w:fill="ffffff"/>
        <w:tcBorders>
          <w:right w:val="none" w:color="000000" w:sz="4" w:space="0"/>
        </w:tcBorders>
      </w:tcPr>
    </w:tblStylePr>
    <w:tblStylePr w:type="firstRow">
      <w:rPr>
        <w:b/>
        <w:bCs/>
        <w:color w:val="ffffff"/>
      </w:rPr>
      <w:tcPr>
        <w:shd w:val="clear" w:color="auto" w:fill="000000"/>
      </w:tcPr>
    </w:tblStylePr>
    <w:tblStylePr w:type="lastCol">
      <w:rPr>
        <w:b/>
        <w:bCs/>
      </w:rPr>
      <w:tcPr>
        <w:shd w:val="clear" w:color="auto" w:fill="ffffff"/>
        <w:tcBorders>
          <w:left w:val="none" w:color="000000" w:sz="4" w:space="0"/>
        </w:tcBorders>
      </w:tcPr>
    </w:tblStylePr>
    <w:tblStylePr w:type="lastRow">
      <w:rPr>
        <w:b/>
        <w:bCs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bottom w:val="none" w:color="000000" w:sz="4" w:space="0"/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  <w:bottom w:val="none" w:color="000000" w:sz="4" w:space="0"/>
        </w:tcBorders>
      </w:tcPr>
    </w:tblStylePr>
    <w:tblStylePr w:type="swCell">
      <w:tcPr>
        <w:tcBorders>
          <w:top w:val="single" w:color="000000" w:sz="4" w:space="0"/>
          <w:right w:val="none" w:color="000000" w:sz="4" w:space="0"/>
        </w:tcBorders>
      </w:tcPr>
    </w:tblStylePr>
    <w:tblStylePr w:type="seCell">
      <w:tcPr>
        <w:tcBorders>
          <w:top w:val="single" w:color="000000" w:sz="4" w:space="0"/>
          <w:left w:val="none" w:color="000000" w:sz="4" w:space="0"/>
        </w:tcBorders>
      </w:tcPr>
    </w:tblStylePr>
  </w:style>
  <w:style w:type="table" w:styleId="1341" w:customStyle="1">
    <w:name w:val="Список-таблица 422"/>
    <w:basedOn w:val="723"/>
    <w:uiPriority w:val="49"/>
    <w:pPr>
      <w:spacing w:after="0" w:line="240" w:lineRule="auto"/>
    </w:pPr>
    <w:tblPr>
      <w:tblStyleRowBandSize w:val="1"/>
      <w:tblStyleColBandSize w:val="1"/>
      <w:tblBorders>
        <w:top w:val="single" w:color="666666" w:sz="4" w:space="0"/>
        <w:left w:val="single" w:color="666666" w:sz="4" w:space="0"/>
        <w:bottom w:val="single" w:color="666666" w:sz="4" w:space="0"/>
        <w:right w:val="single" w:color="666666" w:sz="4" w:space="0"/>
        <w:insideH w:val="single" w:color="666666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666666" w:sz="4" w:space="0"/>
        </w:tcBorders>
      </w:tcPr>
    </w:tblStylePr>
  </w:style>
  <w:style w:type="table" w:styleId="1342" w:customStyle="1">
    <w:name w:val="Список-таблица 5 темная22"/>
    <w:basedOn w:val="723"/>
    <w:uiPriority w:val="50"/>
    <w:pPr>
      <w:spacing w:after="0" w:line="240" w:lineRule="auto"/>
    </w:pPr>
    <w:rPr>
      <w:color w:val="ffffff"/>
    </w:rPr>
    <w:tblPr>
      <w:tblStyleRowBandSize w:val="1"/>
      <w:tblStyleColBandSize w:val="1"/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top w:val="none" w:color="000000" w:sz="4" w:space="0"/>
          <w:right w:val="none" w:color="000000" w:sz="4" w:space="0"/>
        </w:tcBorders>
      </w:tcPr>
    </w:tblStylePr>
    <w:tblStylePr w:type="seCell">
      <w:tcPr>
        <w:tcBorders>
          <w:top w:val="none" w:color="000000" w:sz="4" w:space="0"/>
          <w:left w:val="none" w:color="000000" w:sz="4" w:space="0"/>
        </w:tcBorders>
      </w:tcPr>
    </w:tblStylePr>
  </w:style>
  <w:style w:type="table" w:styleId="1343" w:customStyle="1">
    <w:name w:val="Список-таблица 6 цветная22"/>
    <w:basedOn w:val="723"/>
    <w:uiPriority w:val="51"/>
    <w:pPr>
      <w:spacing w:after="0" w:line="240" w:lineRule="auto"/>
    </w:pPr>
    <w:rPr>
      <w:color w:val="000000"/>
    </w:r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b/>
        <w:bCs/>
      </w:rPr>
    </w:tblStylePr>
    <w:tblStylePr w:type="firstRow">
      <w:rPr>
        <w:b/>
        <w:bCs/>
      </w:rPr>
      <w:tcPr>
        <w:tcBorders>
          <w:bottom w:val="singl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000000" w:sz="4" w:space="0"/>
        </w:tcBorders>
      </w:tcPr>
    </w:tblStylePr>
  </w:style>
  <w:style w:type="table" w:styleId="1344" w:customStyle="1">
    <w:name w:val="Список-таблица 7 цветная22"/>
    <w:basedOn w:val="723"/>
    <w:uiPriority w:val="52"/>
    <w:pPr>
      <w:spacing w:after="0" w:line="240" w:lineRule="auto"/>
    </w:pPr>
    <w:rPr>
      <w:color w:val="000000"/>
    </w:rPr>
    <w:tblPr>
      <w:tblStyleRowBandSize w:val="1"/>
      <w:tblStyleColBandSize w:val="1"/>
    </w:tblPr>
    <w:tblStylePr w:type="band1Horz">
      <w:tcPr>
        <w:shd w:val="clear" w:color="auto" w:fill="cccccc"/>
      </w:tcPr>
    </w:tblStylePr>
    <w:tblStylePr w:type="band1Vert">
      <w:tcPr>
        <w:shd w:val="clear" w:color="auto" w:fill="cccccc"/>
      </w:tcPr>
    </w:tblStylePr>
    <w:tblStylePr w:type="firstCol">
      <w:rPr>
        <w:rFonts w:ascii="Calibri Light" w:hAnsi="Calibri Light" w:eastAsia="Times New Roman" w:cs="Times New Roman"/>
        <w:i/>
        <w:iCs/>
        <w:sz w:val="26"/>
      </w:rPr>
      <w:pPr>
        <w:jc w:val="right"/>
      </w:pPr>
      <w:tcPr>
        <w:shd w:val="clear" w:color="auto" w:fill="ffffff"/>
        <w:tcBorders>
          <w:right w:val="single" w:color="000000" w:sz="4" w:space="0"/>
        </w:tcBorders>
      </w:tcPr>
    </w:tblStylePr>
    <w:tblStylePr w:type="fir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bottom w:val="single" w:color="000000" w:sz="4" w:space="0"/>
        </w:tcBorders>
      </w:tcPr>
    </w:tblStylePr>
    <w:tblStylePr w:type="lastCol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left w:val="single" w:color="000000" w:sz="4" w:space="0"/>
        </w:tcBorders>
      </w:tcPr>
    </w:tblStylePr>
    <w:tblStylePr w:type="lastRow">
      <w:rPr>
        <w:rFonts w:ascii="Calibri Light" w:hAnsi="Calibri Light" w:eastAsia="Times New Roman" w:cs="Times New Roman"/>
        <w:i/>
        <w:iCs/>
        <w:sz w:val="26"/>
      </w:rPr>
      <w:tcPr>
        <w:shd w:val="clear" w:color="auto" w:fill="ffffff"/>
        <w:tcBorders>
          <w:top w:val="singl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  <w:tblStylePr w:type="swCell">
      <w:tcPr>
        <w:tcBorders>
          <w:right w:val="none" w:color="000000" w:sz="4" w:space="0"/>
        </w:tcBorders>
      </w:tcPr>
    </w:tblStylePr>
    <w:tblStylePr w:type="seCell">
      <w:tcPr>
        <w:tcBorders>
          <w:left w:val="none" w:color="000000" w:sz="4" w:space="0"/>
        </w:tcBorders>
      </w:tcPr>
    </w:tblStylePr>
  </w:style>
  <w:style w:type="table" w:styleId="1345" w:customStyle="1">
    <w:name w:val="TableGrid3"/>
    <w:pPr>
      <w:spacing w:after="0" w:line="240" w:lineRule="auto"/>
    </w:pPr>
    <w:rPr>
      <w:rFonts w:eastAsiaTheme="minorEastAsia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1346">
    <w:name w:val="Intense Emphasis"/>
    <w:basedOn w:val="722"/>
    <w:uiPriority w:val="21"/>
    <w:qFormat/>
    <w:rPr>
      <w:i/>
      <w:iCs/>
      <w:color w:val="2e74b5" w:themeColor="accent1" w:themeShade="BF"/>
    </w:rPr>
  </w:style>
  <w:style w:type="character" w:styleId="1347">
    <w:name w:val="Intense Reference"/>
    <w:basedOn w:val="722"/>
    <w:uiPriority w:val="32"/>
    <w:qFormat/>
    <w:rPr>
      <w:b/>
      <w:bCs/>
      <w:smallCaps/>
      <w:color w:val="2e74b5" w:themeColor="accent1" w:themeShade="BF"/>
      <w:spacing w:val="5"/>
    </w:rPr>
  </w:style>
  <w:style w:type="table" w:styleId="1348" w:customStyle="1">
    <w:name w:val="Сетка таблицы9"/>
    <w:pPr>
      <w:spacing w:after="0" w:line="240" w:lineRule="auto"/>
    </w:pPr>
    <w:rPr>
      <w:rFonts w:eastAsia="Times New Roman"/>
      <w:lang w:eastAsia="ru-RU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349" w:customStyle="1">
    <w:name w:val="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350" w:customStyle="1">
    <w:name w:val="Bordered &amp; Lined - Accent 1"/>
    <w:basedOn w:val="7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character" w:styleId="1351" w:customStyle="1">
    <w:name w:val="Гипертекстовая ссылка"/>
    <w:basedOn w:val="722"/>
    <w:uiPriority w:val="99"/>
    <w:rPr>
      <w:rFonts w:cs="Times New Roman"/>
      <w:b w:val="0"/>
      <w:color w:val="106bbe"/>
    </w:rPr>
  </w:style>
  <w:style w:type="character" w:styleId="1352" w:customStyle="1">
    <w:name w:val="Цветовое выделение"/>
    <w:uiPriority w:val="99"/>
    <w:rPr>
      <w:b/>
      <w:color w:val="26282f"/>
    </w:rPr>
  </w:style>
  <w:style w:type="paragraph" w:styleId="1353" w:customStyle="1">
    <w:name w:val="Текст (справка)"/>
    <w:basedOn w:val="712"/>
    <w:next w:val="712"/>
    <w:uiPriority w:val="99"/>
    <w:pPr>
      <w:ind w:left="170" w:right="170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  <w:lang w:eastAsia="ru-RU"/>
    </w:rPr>
  </w:style>
  <w:style w:type="paragraph" w:styleId="1354" w:customStyle="1">
    <w:name w:val="Комментарий"/>
    <w:basedOn w:val="1353"/>
    <w:next w:val="712"/>
    <w:uiPriority w:val="99"/>
    <w:pPr>
      <w:ind w:right="0"/>
      <w:jc w:val="both"/>
      <w:spacing w:before="75"/>
    </w:pPr>
    <w:rPr>
      <w:color w:val="353842"/>
    </w:rPr>
  </w:style>
  <w:style w:type="paragraph" w:styleId="1355" w:customStyle="1">
    <w:name w:val="Информация о версии"/>
    <w:basedOn w:val="1354"/>
    <w:next w:val="712"/>
    <w:uiPriority w:val="99"/>
    <w:rPr>
      <w:i/>
      <w:iCs/>
    </w:rPr>
  </w:style>
  <w:style w:type="paragraph" w:styleId="1356" w:customStyle="1">
    <w:name w:val="Текст информации об изменениях"/>
    <w:basedOn w:val="712"/>
    <w:next w:val="712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color w:val="353842"/>
      <w:sz w:val="20"/>
      <w:szCs w:val="20"/>
      <w:lang w:eastAsia="ru-RU"/>
    </w:rPr>
  </w:style>
  <w:style w:type="paragraph" w:styleId="1357" w:customStyle="1">
    <w:name w:val="Информация об изменениях"/>
    <w:basedOn w:val="1356"/>
    <w:next w:val="712"/>
    <w:uiPriority w:val="99"/>
    <w:pPr>
      <w:ind w:left="360" w:right="360" w:firstLine="0"/>
      <w:spacing w:before="180"/>
    </w:pPr>
  </w:style>
  <w:style w:type="paragraph" w:styleId="1358" w:customStyle="1">
    <w:name w:val="Таблицы (моноширинный)"/>
    <w:basedOn w:val="712"/>
    <w:next w:val="712"/>
    <w:uiPriority w:val="99"/>
    <w:pPr>
      <w:spacing w:after="0" w:line="240" w:lineRule="auto"/>
      <w:widowControl w:val="off"/>
    </w:pPr>
    <w:rPr>
      <w:rFonts w:ascii="Courier New" w:hAnsi="Courier New" w:cs="Courier New" w:eastAsiaTheme="minorEastAsia"/>
      <w:sz w:val="24"/>
      <w:szCs w:val="24"/>
      <w:lang w:eastAsia="ru-RU"/>
    </w:rPr>
  </w:style>
  <w:style w:type="paragraph" w:styleId="1359" w:customStyle="1">
    <w:name w:val="Подзаголовок для информации об изменениях"/>
    <w:basedOn w:val="1356"/>
    <w:next w:val="712"/>
    <w:uiPriority w:val="99"/>
    <w:rPr>
      <w:b/>
      <w:bCs/>
    </w:rPr>
  </w:style>
  <w:style w:type="paragraph" w:styleId="1360" w:customStyle="1">
    <w:name w:val="Сноска"/>
    <w:basedOn w:val="712"/>
    <w:next w:val="712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0"/>
      <w:szCs w:val="20"/>
      <w:lang w:eastAsia="ru-RU"/>
    </w:rPr>
  </w:style>
  <w:style w:type="character" w:styleId="1361" w:customStyle="1">
    <w:name w:val="Цветовое выделение для Текст"/>
    <w:uiPriority w:val="99"/>
    <w:rPr>
      <w:rFonts w:ascii="Times New Roman CYR" w:hAnsi="Times New Roman CY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://garant.belregion.ru/document/redirect/179222/0" TargetMode="External"/><Relationship Id="rId11" Type="http://schemas.openxmlformats.org/officeDocument/2006/relationships/hyperlink" Target="http://garant.belregion.ru/document/redirect/179222/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>diakov.net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revision>8</cp:revision>
  <dcterms:created xsi:type="dcterms:W3CDTF">2026-03-19T12:54:00Z</dcterms:created>
  <dcterms:modified xsi:type="dcterms:W3CDTF">2026-03-30T11:45:47Z</dcterms:modified>
</cp:coreProperties>
</file>